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w:t>
      </w:r>
      <w:r>
        <w:rPr>
          <w:rFonts w:hint="default" w:ascii="方正小标宋简体" w:hAnsi="方正小标宋简体" w:eastAsia="方正小标宋简体" w:cs="方正小标宋简体"/>
          <w:sz w:val="44"/>
          <w:szCs w:val="44"/>
          <w:lang w:val="en-US"/>
        </w:rPr>
        <w:t>开展</w:t>
      </w:r>
      <w:r>
        <w:rPr>
          <w:rFonts w:hint="eastAsia" w:ascii="方正小标宋简体" w:hAnsi="方正小标宋简体" w:eastAsia="方正小标宋简体" w:cs="方正小标宋简体"/>
          <w:sz w:val="44"/>
          <w:szCs w:val="44"/>
        </w:rPr>
        <w:t>丽水市砂石行业中介机构</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白名单库</w:t>
      </w:r>
      <w:r>
        <w:rPr>
          <w:rFonts w:hint="default" w:ascii="方正小标宋简体" w:hAnsi="方正小标宋简体" w:eastAsia="方正小标宋简体" w:cs="方正小标宋简体"/>
          <w:sz w:val="44"/>
          <w:szCs w:val="44"/>
          <w:lang w:val="en-US"/>
        </w:rPr>
        <w:t>全面审核与适当扩容</w:t>
      </w:r>
      <w:r>
        <w:rPr>
          <w:rFonts w:hint="eastAsia" w:ascii="方正小标宋简体" w:hAnsi="方正小标宋简体" w:eastAsia="方正小标宋简体" w:cs="方正小标宋简体"/>
          <w:sz w:val="44"/>
          <w:szCs w:val="44"/>
        </w:rPr>
        <w:t>的工作方案</w:t>
      </w:r>
    </w:p>
    <w:p>
      <w:pPr>
        <w:pStyle w:val="2"/>
        <w:keepLines w:val="0"/>
        <w:pageBreakBefore w:val="0"/>
        <w:kinsoku/>
        <w:wordWrap/>
        <w:overflowPunct/>
        <w:topLinePunct w:val="0"/>
        <w:autoSpaceDE/>
        <w:autoSpaceDN/>
        <w:bidi w:val="0"/>
        <w:spacing w:line="560" w:lineRule="exact"/>
        <w:ind w:left="0" w:leftChars="0" w:firstLine="0" w:firstLineChars="0"/>
        <w:textAlignment w:val="auto"/>
        <w:rPr>
          <w:rFonts w:hint="eastAsia"/>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eastAsia="zh-CN"/>
          <w14:textFill>
            <w14:solidFill>
              <w14:schemeClr w14:val="tx1"/>
            </w14:solidFill>
          </w14:textFill>
        </w:rPr>
        <w:t>首批白名单库建立一年半以来，在砂石资源综合管理领域发挥重要作用，但也暴露出部分类别入围数量少，供选择范围窄，竞争性不强和调整周期过长的问题。为切实解决上述问题，进一步</w:t>
      </w:r>
      <w:r>
        <w:rPr>
          <w:rFonts w:hint="eastAsia" w:ascii="仿宋_GB2312" w:hAnsi="仿宋_GB2312" w:eastAsia="仿宋_GB2312" w:cs="仿宋_GB2312"/>
          <w:color w:val="000000" w:themeColor="text1"/>
          <w:sz w:val="32"/>
          <w:szCs w:val="32"/>
          <w:lang w:val="en"/>
          <w14:textFill>
            <w14:solidFill>
              <w14:schemeClr w14:val="tx1"/>
            </w14:solidFill>
          </w14:textFill>
        </w:rPr>
        <w:t>规范砂石行业中介机构技术服务</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
          <w14:textFill>
            <w14:solidFill>
              <w14:schemeClr w14:val="tx1"/>
            </w14:solidFill>
          </w14:textFill>
        </w:rPr>
        <w:t>根据《丽水市砂石资源综合管理领导小组关于进一步完善砂石资源开发利用监管机制扎实推动砂石行业高质量绿色转型发展的实施方案》</w:t>
      </w:r>
      <w:r>
        <w:rPr>
          <w:rFonts w:hint="eastAsia" w:ascii="仿宋_GB2312" w:hAnsi="仿宋_GB2312" w:eastAsia="仿宋_GB2312" w:cs="仿宋_GB2312"/>
          <w:snapToGrid w:val="0"/>
          <w:color w:val="000000" w:themeColor="text1"/>
          <w:kern w:val="0"/>
          <w:sz w:val="32"/>
          <w14:textFill>
            <w14:solidFill>
              <w14:schemeClr w14:val="tx1"/>
            </w14:solidFill>
          </w14:textFill>
        </w:rPr>
        <w:t>(丽砂管〔2023〕1号)</w:t>
      </w:r>
      <w:r>
        <w:rPr>
          <w:rFonts w:hint="eastAsia" w:ascii="仿宋_GB2312" w:hAnsi="仿宋_GB2312" w:eastAsia="仿宋_GB2312" w:cs="仿宋_GB2312"/>
          <w:snapToGrid w:val="0"/>
          <w:color w:val="000000" w:themeColor="text1"/>
          <w:kern w:val="0"/>
          <w:sz w:val="32"/>
          <w:lang w:eastAsia="zh-CN"/>
          <w14:textFill>
            <w14:solidFill>
              <w14:schemeClr w14:val="tx1"/>
            </w14:solidFill>
          </w14:textFill>
        </w:rPr>
        <w:t>，《关于印发</w:t>
      </w:r>
      <w:r>
        <w:rPr>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lang w:eastAsia="zh-CN"/>
          <w14:textFill>
            <w14:solidFill>
              <w14:schemeClr w14:val="tx1"/>
            </w14:solidFill>
          </w14:textFill>
        </w:rPr>
        <w:t>丽水市砂石行业中介机构白名单库的工作方案（试行）</w:t>
      </w:r>
      <w:r>
        <w:rPr>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〉的通知</w:t>
      </w:r>
      <w:r>
        <w:rPr>
          <w:rFonts w:hint="eastAsia" w:ascii="仿宋_GB2312" w:hAnsi="仿宋_GB2312" w:eastAsia="仿宋_GB2312" w:cs="仿宋_GB2312"/>
          <w:snapToGrid w:val="0"/>
          <w:color w:val="000000" w:themeColor="text1"/>
          <w:kern w:val="0"/>
          <w:sz w:val="32"/>
          <w:lang w:eastAsia="zh-CN"/>
          <w14:textFill>
            <w14:solidFill>
              <w14:schemeClr w14:val="tx1"/>
            </w14:solidFill>
          </w14:textFill>
        </w:rPr>
        <w:t>》（丽砂管</w:t>
      </w:r>
      <w:r>
        <w:rPr>
          <w:rFonts w:hint="eastAsia" w:ascii="仿宋_GB2312" w:hAnsi="仿宋_GB2312" w:eastAsia="仿宋_GB2312" w:cs="仿宋_GB2312"/>
          <w:snapToGrid w:val="0"/>
          <w:color w:val="000000" w:themeColor="text1"/>
          <w:kern w:val="0"/>
          <w:sz w:val="32"/>
          <w14:textFill>
            <w14:solidFill>
              <w14:schemeClr w14:val="tx1"/>
            </w14:solidFill>
          </w14:textFill>
        </w:rPr>
        <w:t>〔2023〕</w:t>
      </w:r>
      <w:r>
        <w:rPr>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5</w:t>
      </w:r>
      <w:r>
        <w:rPr>
          <w:rFonts w:hint="eastAsia" w:ascii="仿宋_GB2312" w:hAnsi="仿宋_GB2312" w:eastAsia="仿宋_GB2312" w:cs="仿宋_GB2312"/>
          <w:snapToGrid w:val="0"/>
          <w:color w:val="000000" w:themeColor="text1"/>
          <w:kern w:val="0"/>
          <w:sz w:val="32"/>
          <w14:textFill>
            <w14:solidFill>
              <w14:schemeClr w14:val="tx1"/>
            </w14:solidFill>
          </w14:textFill>
        </w:rPr>
        <w:t>号</w:t>
      </w:r>
      <w:r>
        <w:rPr>
          <w:rFonts w:hint="eastAsia" w:ascii="仿宋_GB2312" w:hAnsi="仿宋_GB2312" w:eastAsia="仿宋_GB2312" w:cs="仿宋_GB2312"/>
          <w:snapToGrid w:val="0"/>
          <w:color w:val="000000" w:themeColor="text1"/>
          <w:kern w:val="0"/>
          <w:sz w:val="32"/>
          <w:lang w:eastAsia="zh-CN"/>
          <w14:textFill>
            <w14:solidFill>
              <w14:schemeClr w14:val="tx1"/>
            </w14:solidFill>
          </w14:textFill>
        </w:rPr>
        <w:t>）以及《关于对丽水市砂石行业中介机构白名单进行适当扩容等建议的报告》</w:t>
      </w:r>
      <w:r>
        <w:rPr>
          <w:rFonts w:hint="eastAsia" w:ascii="仿宋_GB2312" w:hAnsi="仿宋_GB2312" w:eastAsia="仿宋_GB2312" w:cs="仿宋_GB2312"/>
          <w:color w:val="000000" w:themeColor="text1"/>
          <w:sz w:val="32"/>
          <w:szCs w:val="32"/>
          <w:lang w:val="en"/>
          <w14:textFill>
            <w14:solidFill>
              <w14:schemeClr w14:val="tx1"/>
            </w14:solidFill>
          </w14:textFill>
        </w:rPr>
        <w:t>，拟</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开展</w:t>
      </w:r>
      <w:r>
        <w:rPr>
          <w:rFonts w:hint="eastAsia" w:ascii="仿宋_GB2312" w:hAnsi="仿宋_GB2312" w:eastAsia="仿宋_GB2312" w:cs="仿宋_GB2312"/>
          <w:color w:val="000000" w:themeColor="text1"/>
          <w:sz w:val="32"/>
          <w:szCs w:val="32"/>
          <w:lang w:val="en"/>
          <w14:textFill>
            <w14:solidFill>
              <w14:schemeClr w14:val="tx1"/>
            </w14:solidFill>
          </w14:textFill>
        </w:rPr>
        <w:t>丽水市砂石行业中介机构白名单库</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入围单位的全面审核及白名单库的适当扩容</w:t>
      </w:r>
      <w:r>
        <w:rPr>
          <w:rFonts w:hint="eastAsia" w:ascii="仿宋_GB2312" w:hAnsi="仿宋_GB2312" w:eastAsia="仿宋_GB2312" w:cs="仿宋_GB2312"/>
          <w:color w:val="000000" w:themeColor="text1"/>
          <w:sz w:val="32"/>
          <w:szCs w:val="32"/>
          <w:lang w:val="en"/>
          <w14:textFill>
            <w14:solidFill>
              <w14:schemeClr w14:val="tx1"/>
            </w14:solidFill>
          </w14:textFill>
        </w:rPr>
        <w:t>，特制定如下工作方案。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一、对原有白名单中介机构开展全面审核</w:t>
      </w:r>
    </w:p>
    <w:p>
      <w:pPr>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本次调整将严格按照</w:t>
      </w:r>
      <w:r>
        <w:rPr>
          <w:rFonts w:hint="eastAsia" w:ascii="仿宋_GB2312" w:hAnsi="仿宋_GB2312" w:eastAsia="仿宋_GB2312" w:cs="仿宋_GB2312"/>
          <w:snapToGrid w:val="0"/>
          <w:color w:val="000000" w:themeColor="text1"/>
          <w:kern w:val="0"/>
          <w:sz w:val="32"/>
          <w:lang w:eastAsia="zh-CN"/>
          <w14:textFill>
            <w14:solidFill>
              <w14:schemeClr w14:val="tx1"/>
            </w14:solidFill>
          </w14:textFill>
        </w:rPr>
        <w:t>《关于印发</w:t>
      </w:r>
      <w:r>
        <w:rPr>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lang w:eastAsia="zh-CN"/>
          <w14:textFill>
            <w14:solidFill>
              <w14:schemeClr w14:val="tx1"/>
            </w14:solidFill>
          </w14:textFill>
        </w:rPr>
        <w:t>丽水市砂石行业中介机构白名单库的工作方案（试行）</w:t>
      </w:r>
      <w:r>
        <w:rPr>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〉的通知</w:t>
      </w:r>
      <w:r>
        <w:rPr>
          <w:rFonts w:hint="eastAsia" w:ascii="仿宋_GB2312" w:hAnsi="仿宋_GB2312" w:eastAsia="仿宋_GB2312" w:cs="仿宋_GB2312"/>
          <w:snapToGrid w:val="0"/>
          <w:color w:val="000000" w:themeColor="text1"/>
          <w:kern w:val="0"/>
          <w:sz w:val="32"/>
          <w:lang w:eastAsia="zh-CN"/>
          <w14:textFill>
            <w14:solidFill>
              <w14:schemeClr w14:val="tx1"/>
            </w14:solidFill>
          </w14:textFill>
        </w:rPr>
        <w:t>》（丽砂管</w:t>
      </w:r>
      <w:r>
        <w:rPr>
          <w:rFonts w:hint="eastAsia" w:ascii="仿宋_GB2312" w:hAnsi="仿宋_GB2312" w:eastAsia="仿宋_GB2312" w:cs="仿宋_GB2312"/>
          <w:snapToGrid w:val="0"/>
          <w:color w:val="000000" w:themeColor="text1"/>
          <w:kern w:val="0"/>
          <w:sz w:val="32"/>
          <w14:textFill>
            <w14:solidFill>
              <w14:schemeClr w14:val="tx1"/>
            </w14:solidFill>
          </w14:textFill>
        </w:rPr>
        <w:t>〔2023〕</w:t>
      </w:r>
      <w:r>
        <w:rPr>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5</w:t>
      </w:r>
      <w:r>
        <w:rPr>
          <w:rFonts w:hint="eastAsia" w:ascii="仿宋_GB2312" w:hAnsi="仿宋_GB2312" w:eastAsia="仿宋_GB2312" w:cs="仿宋_GB2312"/>
          <w:snapToGrid w:val="0"/>
          <w:color w:val="000000" w:themeColor="text1"/>
          <w:kern w:val="0"/>
          <w:sz w:val="32"/>
          <w14:textFill>
            <w14:solidFill>
              <w14:schemeClr w14:val="tx1"/>
            </w14:solidFill>
          </w14:textFill>
        </w:rPr>
        <w:t>号</w:t>
      </w:r>
      <w:r>
        <w:rPr>
          <w:rFonts w:hint="eastAsia" w:ascii="仿宋_GB2312" w:hAnsi="仿宋_GB2312" w:eastAsia="仿宋_GB2312" w:cs="仿宋_GB2312"/>
          <w:snapToGrid w:val="0"/>
          <w:color w:val="000000" w:themeColor="text1"/>
          <w:kern w:val="0"/>
          <w:sz w:val="32"/>
          <w:lang w:eastAsia="zh-CN"/>
          <w14:textFill>
            <w14:solidFill>
              <w14:schemeClr w14:val="tx1"/>
            </w14:solidFill>
          </w14:textFill>
        </w:rPr>
        <w:t>）入库标准及流程</w:t>
      </w:r>
      <w:r>
        <w:rPr>
          <w:rFonts w:hint="eastAsia" w:ascii="仿宋_GB2312" w:hAnsi="仿宋_GB2312" w:eastAsia="仿宋_GB2312" w:cs="仿宋_GB2312"/>
          <w:color w:val="000000" w:themeColor="text1"/>
          <w:sz w:val="32"/>
          <w:szCs w:val="32"/>
          <w:lang w:eastAsia="zh-CN"/>
          <w14:textFill>
            <w14:solidFill>
              <w14:schemeClr w14:val="tx1"/>
            </w14:solidFill>
          </w14:textFill>
        </w:rPr>
        <w:t>，全面审核现有白名单中介机构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2024年度相关资质材料</w:t>
      </w:r>
      <w:r>
        <w:rPr>
          <w:rFonts w:hint="eastAsia" w:ascii="仿宋_GB2312" w:hAnsi="仿宋_GB2312" w:eastAsia="仿宋_GB2312" w:cs="仿宋_GB2312"/>
          <w:color w:val="000000" w:themeColor="text1"/>
          <w:sz w:val="32"/>
          <w:szCs w:val="32"/>
          <w:lang w:eastAsia="zh-CN"/>
          <w14:textFill>
            <w14:solidFill>
              <w14:schemeClr w14:val="tx1"/>
            </w14:solidFill>
          </w14:textFill>
        </w:rPr>
        <w:t>，按相关程序审核确定后，对符合条件的中介机构进行信息更新；同时对不满足存续条件的中介机构进行调整。白名单库内</w:t>
      </w:r>
      <w:r>
        <w:rPr>
          <w:rFonts w:hint="eastAsia" w:ascii="仿宋_GB2312" w:hAnsi="仿宋_GB2312" w:eastAsia="仿宋_GB2312" w:cs="仿宋_GB2312"/>
          <w:color w:val="000000" w:themeColor="text1"/>
          <w:sz w:val="32"/>
          <w:szCs w:val="32"/>
          <w:lang w:val="en"/>
          <w14:textFill>
            <w14:solidFill>
              <w14:schemeClr w14:val="tx1"/>
            </w14:solidFill>
          </w14:textFill>
        </w:rPr>
        <w:t>企事业单位</w:t>
      </w:r>
      <w:r>
        <w:rPr>
          <w:rFonts w:ascii="仿宋_GB2312" w:hAnsi="仿宋_GB2312" w:eastAsia="仿宋_GB2312" w:cs="仿宋_GB2312"/>
          <w:color w:val="000000" w:themeColor="text1"/>
          <w:sz w:val="32"/>
          <w:szCs w:val="32"/>
          <w14:textFill>
            <w14:solidFill>
              <w14:schemeClr w14:val="tx1"/>
            </w14:solidFill>
          </w14:textFill>
        </w:rPr>
        <w:t>通过电子邮件</w:t>
      </w:r>
      <w:r>
        <w:rPr>
          <w:rFonts w:hint="eastAsia" w:ascii="仿宋_GB2312" w:hAnsi="仿宋_GB2312" w:eastAsia="仿宋_GB2312" w:cs="仿宋_GB2312"/>
          <w:color w:val="000000" w:themeColor="text1"/>
          <w:sz w:val="32"/>
          <w:szCs w:val="32"/>
          <w:lang w:eastAsia="zh-CN"/>
          <w14:textFill>
            <w14:solidFill>
              <w14:schemeClr w14:val="tx1"/>
            </w14:solidFill>
          </w14:textFill>
        </w:rPr>
        <w:t>报送相关材料，相关材料以“单位名称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+原申请入库类别</w:t>
      </w:r>
      <w:r>
        <w:rPr>
          <w:rFonts w:hint="eastAsia" w:ascii="仿宋_GB2312" w:hAnsi="仿宋_GB2312" w:eastAsia="仿宋_GB2312" w:cs="仿宋_GB2312"/>
          <w:color w:val="000000" w:themeColor="text1"/>
          <w:sz w:val="32"/>
          <w:szCs w:val="32"/>
          <w:lang w:eastAsia="zh-CN"/>
          <w14:textFill>
            <w14:solidFill>
              <w14:schemeClr w14:val="tx1"/>
            </w14:solidFill>
          </w14:textFill>
        </w:rPr>
        <w:t>”为文件名，提供联系人及联系方式，发送至指定邮箱：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lszrzyj2021@163.com。</w:t>
      </w:r>
    </w:p>
    <w:p>
      <w:pPr>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重新提交</w:t>
      </w:r>
      <w:r>
        <w:rPr>
          <w:rFonts w:ascii="仿宋_GB2312" w:hAnsi="仿宋_GB2312" w:eastAsia="仿宋_GB2312" w:cs="仿宋_GB2312"/>
          <w:color w:val="000000" w:themeColor="text1"/>
          <w:sz w:val="32"/>
          <w:szCs w:val="32"/>
          <w14:textFill>
            <w14:solidFill>
              <w14:schemeClr w14:val="tx1"/>
            </w14:solidFill>
          </w14:textFill>
        </w:rPr>
        <w:t>所需材料如下：</w:t>
      </w:r>
    </w:p>
    <w:p>
      <w:pPr>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ascii="仿宋_GB2312" w:hAnsi="仿宋_GB2312" w:eastAsia="仿宋_GB2312" w:cs="仿宋_GB2312"/>
          <w:color w:val="000000" w:themeColor="text1"/>
          <w:sz w:val="32"/>
          <w:szCs w:val="32"/>
          <w14:textFill>
            <w14:solidFill>
              <w14:schemeClr w14:val="tx1"/>
            </w14:solidFill>
          </w14:textFill>
        </w:rPr>
        <w:t>企业法人营业执照或事业单位法人证书；</w:t>
      </w:r>
    </w:p>
    <w:p>
      <w:pPr>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入库</w:t>
      </w:r>
      <w:r>
        <w:rPr>
          <w:rFonts w:ascii="仿宋_GB2312" w:hAnsi="仿宋_GB2312" w:eastAsia="仿宋_GB2312" w:cs="仿宋_GB2312"/>
          <w:color w:val="000000" w:themeColor="text1"/>
          <w:sz w:val="32"/>
          <w:szCs w:val="32"/>
          <w14:textFill>
            <w14:solidFill>
              <w14:schemeClr w14:val="tx1"/>
            </w14:solidFill>
          </w14:textFill>
        </w:rPr>
        <w:t>类别相对应的资格</w:t>
      </w:r>
      <w:r>
        <w:rPr>
          <w:rFonts w:hint="eastAsia" w:ascii="仿宋_GB2312" w:hAnsi="仿宋_GB2312" w:eastAsia="仿宋_GB2312" w:cs="仿宋_GB2312"/>
          <w:color w:val="000000" w:themeColor="text1"/>
          <w:sz w:val="32"/>
          <w:szCs w:val="32"/>
          <w14:textFill>
            <w14:solidFill>
              <w14:schemeClr w14:val="tx1"/>
            </w14:solidFill>
          </w14:textFill>
        </w:rPr>
        <w:t>证明材料</w:t>
      </w:r>
      <w:r>
        <w:rPr>
          <w:rFonts w:ascii="仿宋_GB2312" w:hAnsi="仿宋_GB2312" w:eastAsia="仿宋_GB2312" w:cs="仿宋_GB2312"/>
          <w:color w:val="000000" w:themeColor="text1"/>
          <w:sz w:val="32"/>
          <w:szCs w:val="32"/>
          <w14:textFill>
            <w14:solidFill>
              <w14:schemeClr w14:val="tx1"/>
            </w14:solidFill>
          </w14:textFill>
        </w:rPr>
        <w:t>或资质证书；</w:t>
      </w:r>
    </w:p>
    <w:p>
      <w:pPr>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ascii="仿宋_GB2312" w:hAnsi="仿宋_GB2312" w:eastAsia="仿宋_GB2312" w:cs="仿宋_GB2312"/>
          <w:color w:val="000000" w:themeColor="text1"/>
          <w:sz w:val="32"/>
          <w:szCs w:val="32"/>
          <w14:textFill>
            <w14:solidFill>
              <w14:schemeClr w14:val="tx1"/>
            </w14:solidFill>
          </w14:textFill>
        </w:rPr>
        <w:t>技术人员名单、职称证书（矿业权评估师证书）、社会保险参保证明；</w:t>
      </w:r>
    </w:p>
    <w:p>
      <w:pPr>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ascii="仿宋_GB2312" w:hAnsi="仿宋_GB2312" w:eastAsia="仿宋_GB2312" w:cs="仿宋_GB2312"/>
          <w:color w:val="000000" w:themeColor="text1"/>
          <w:sz w:val="32"/>
          <w:szCs w:val="32"/>
          <w14:textFill>
            <w14:solidFill>
              <w14:schemeClr w14:val="tx1"/>
            </w14:solidFill>
          </w14:textFill>
        </w:rPr>
        <w:t>业绩证明材料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(优先提交在丽完成的涉砂项目业绩证明材料)</w:t>
      </w:r>
      <w:r>
        <w:rPr>
          <w:rFonts w:ascii="仿宋_GB2312" w:hAnsi="仿宋_GB2312" w:eastAsia="仿宋_GB2312" w:cs="仿宋_GB2312"/>
          <w:color w:val="000000" w:themeColor="text1"/>
          <w:sz w:val="32"/>
          <w:szCs w:val="32"/>
          <w14:textFill>
            <w14:solidFill>
              <w14:schemeClr w14:val="tx1"/>
            </w14:solidFill>
          </w14:textFill>
        </w:rPr>
        <w:t>；</w:t>
      </w:r>
    </w:p>
    <w:p>
      <w:pPr>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ascii="仿宋_GB2312" w:hAnsi="仿宋_GB2312" w:eastAsia="仿宋_GB2312" w:cs="仿宋_GB2312"/>
          <w:color w:val="000000" w:themeColor="text1"/>
          <w:sz w:val="32"/>
          <w:szCs w:val="32"/>
          <w14:textFill>
            <w14:solidFill>
              <w14:schemeClr w14:val="tx1"/>
            </w14:solidFill>
          </w14:textFill>
        </w:rPr>
        <w:t>承诺书</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Lines w:val="0"/>
        <w:pageBreakBefore w:val="0"/>
        <w:kinsoku/>
        <w:wordWrap/>
        <w:overflowPunct/>
        <w:topLinePunct w:val="0"/>
        <w:autoSpaceDE/>
        <w:autoSpaceDN/>
        <w:bidi w:val="0"/>
        <w:spacing w:line="560" w:lineRule="exact"/>
        <w:ind w:firstLine="640" w:firstLineChars="200"/>
        <w:textAlignment w:val="auto"/>
        <w:rPr>
          <w:rStyle w:val="7"/>
          <w:rFonts w:hint="eastAsia" w:ascii="楷体_GB2312" w:hAnsi="楷体_GB2312" w:eastAsia="楷体_GB2312" w:cs="楷体_GB2312"/>
          <w:snapToGrid w:val="0"/>
          <w:color w:val="000000" w:themeColor="text1"/>
          <w:kern w:val="0"/>
          <w:sz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审核内容参照白名单库入库条件。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val="en" w:eastAsia="zh-CN"/>
          <w14:textFill>
            <w14:solidFill>
              <w14:schemeClr w14:val="tx1"/>
            </w14:solidFill>
          </w14:textFill>
        </w:rPr>
        <w:t>二</w:t>
      </w:r>
      <w:r>
        <w:rPr>
          <w:rFonts w:hint="eastAsia" w:ascii="黑体" w:hAnsi="黑体" w:eastAsia="黑体" w:cs="黑体"/>
          <w:color w:val="000000" w:themeColor="text1"/>
          <w:sz w:val="32"/>
          <w:szCs w:val="32"/>
          <w:lang w:val="en"/>
          <w14:textFill>
            <w14:solidFill>
              <w14:schemeClr w14:val="tx1"/>
            </w14:solidFill>
          </w14:textFill>
        </w:rPr>
        <w:t>、</w:t>
      </w:r>
      <w:r>
        <w:rPr>
          <w:rFonts w:hint="eastAsia" w:ascii="黑体" w:hAnsi="黑体" w:eastAsia="黑体" w:cs="黑体"/>
          <w:color w:val="000000" w:themeColor="text1"/>
          <w:sz w:val="32"/>
          <w:szCs w:val="32"/>
          <w:lang w:val="en" w:eastAsia="zh-CN"/>
          <w14:textFill>
            <w14:solidFill>
              <w14:schemeClr w14:val="tx1"/>
            </w14:solidFill>
          </w14:textFill>
        </w:rPr>
        <w:t>对</w:t>
      </w:r>
      <w:r>
        <w:rPr>
          <w:rFonts w:hint="eastAsia" w:ascii="黑体" w:hAnsi="黑体" w:eastAsia="黑体" w:cs="黑体"/>
          <w:color w:val="000000" w:themeColor="text1"/>
          <w:sz w:val="32"/>
          <w:szCs w:val="32"/>
          <w:lang w:val="en"/>
          <w14:textFill>
            <w14:solidFill>
              <w14:schemeClr w14:val="tx1"/>
            </w14:solidFill>
          </w14:textFill>
        </w:rPr>
        <w:t>白名单库</w:t>
      </w:r>
      <w:r>
        <w:rPr>
          <w:rFonts w:hint="eastAsia" w:ascii="黑体" w:hAnsi="黑体" w:eastAsia="黑体" w:cs="黑体"/>
          <w:color w:val="000000" w:themeColor="text1"/>
          <w:sz w:val="32"/>
          <w:szCs w:val="32"/>
          <w:lang w:val="en" w:eastAsia="zh-CN"/>
          <w14:textFill>
            <w14:solidFill>
              <w14:schemeClr w14:val="tx1"/>
            </w14:solidFill>
          </w14:textFill>
        </w:rPr>
        <w:t>进行适当扩容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丽水市砂石行业中介机构白名单库分为普通建筑石料矿山地质勘查及储量评估、砂石资源（矿产品）价款评估、测绘、工程项目砂石资源的“三量”评估四个类别</w:t>
      </w:r>
      <w:r>
        <w:rPr>
          <w:rFonts w:hint="eastAsia" w:ascii="仿宋_GB2312" w:hAnsi="仿宋_GB2312" w:eastAsia="仿宋_GB2312" w:cs="仿宋_GB2312"/>
          <w:color w:val="000000" w:themeColor="text1"/>
          <w:sz w:val="32"/>
          <w:szCs w:val="32"/>
          <w:lang w:eastAsia="zh-CN"/>
          <w14:textFill>
            <w14:solidFill>
              <w14:schemeClr w14:val="tx1"/>
            </w14:solidFill>
          </w14:textFill>
        </w:rPr>
        <w:t>。根据当前的实际情况，在准入条件不变的前提下，对上述四个类别的中介机构白名单进行适当扩容。</w:t>
      </w:r>
    </w:p>
    <w:p>
      <w:pPr>
        <w:pStyle w:val="2"/>
        <w:keepLines w:val="0"/>
        <w:pageBreakBefore w:val="0"/>
        <w:kinsoku/>
        <w:wordWrap/>
        <w:overflowPunct/>
        <w:topLinePunct w:val="0"/>
        <w:autoSpaceDE/>
        <w:autoSpaceDN/>
        <w:bidi w:val="0"/>
        <w:spacing w:line="560" w:lineRule="exact"/>
        <w:ind w:firstLine="640"/>
        <w:textAlignment w:val="auto"/>
        <w:rPr>
          <w:rFonts w:hint="eastAsia" w:ascii="楷体_GB2312" w:hAnsi="楷体_GB2312" w:eastAsia="楷体_GB2312" w:cs="楷体_GB2312"/>
          <w:color w:val="000000" w:themeColor="text1"/>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（一）白名单库的准入条件</w:t>
      </w:r>
    </w:p>
    <w:p>
      <w:pPr>
        <w:keepNext/>
        <w:keepLines w:val="0"/>
        <w:pageBreakBefore w:val="0"/>
        <w:widowControl/>
        <w:kinsoku/>
        <w:wordWrap/>
        <w:overflowPunct/>
        <w:topLinePunct w:val="0"/>
        <w:autoSpaceDE/>
        <w:autoSpaceDN/>
        <w:bidi w:val="0"/>
        <w:adjustRightInd w:val="0"/>
        <w:snapToGrid w:val="0"/>
        <w:spacing w:line="560" w:lineRule="exact"/>
        <w:ind w:firstLine="643" w:firstLineChars="200"/>
        <w:jc w:val="left"/>
        <w:textAlignment w:val="auto"/>
        <w:rPr>
          <w:rStyle w:val="7"/>
          <w:rFonts w:hint="eastAsia" w:ascii="仿宋_GB2312" w:hAnsi="仿宋_GB2312" w:eastAsia="仿宋_GB2312" w:cs="仿宋_GB2312"/>
          <w:b/>
          <w:bCs w:val="0"/>
          <w:snapToGrid w:val="0"/>
          <w:color w:val="000000" w:themeColor="text1"/>
          <w:kern w:val="0"/>
          <w:sz w:val="32"/>
          <w14:textFill>
            <w14:solidFill>
              <w14:schemeClr w14:val="tx1"/>
            </w14:solidFill>
          </w14:textFill>
        </w:rPr>
      </w:pPr>
      <w:r>
        <w:rPr>
          <w:rStyle w:val="7"/>
          <w:rFonts w:hint="eastAsia" w:ascii="仿宋_GB2312" w:hAnsi="仿宋_GB2312" w:eastAsia="仿宋_GB2312" w:cs="仿宋_GB2312"/>
          <w:b/>
          <w:bCs w:val="0"/>
          <w:snapToGrid w:val="0"/>
          <w:color w:val="000000" w:themeColor="text1"/>
          <w:kern w:val="0"/>
          <w:sz w:val="32"/>
          <w:lang w:val="en-US" w:eastAsia="zh-CN"/>
          <w14:textFill>
            <w14:solidFill>
              <w14:schemeClr w14:val="tx1"/>
            </w14:solidFill>
          </w14:textFill>
        </w:rPr>
        <w:t>1.</w:t>
      </w:r>
      <w:r>
        <w:rPr>
          <w:rStyle w:val="7"/>
          <w:rFonts w:hint="eastAsia" w:ascii="仿宋_GB2312" w:hAnsi="仿宋_GB2312" w:eastAsia="仿宋_GB2312" w:cs="仿宋_GB2312"/>
          <w:b/>
          <w:bCs w:val="0"/>
          <w:snapToGrid w:val="0"/>
          <w:color w:val="000000" w:themeColor="text1"/>
          <w:kern w:val="0"/>
          <w:sz w:val="32"/>
          <w14:textFill>
            <w14:solidFill>
              <w14:schemeClr w14:val="tx1"/>
            </w14:solidFill>
          </w14:textFill>
        </w:rPr>
        <w:t>普通建筑石料矿山地质勘查及储量评估类</w:t>
      </w:r>
    </w:p>
    <w:p>
      <w:pPr>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持有有效的企业法人营业执照或事业单位法人证书；</w:t>
      </w:r>
    </w:p>
    <w:p>
      <w:pPr>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地矿信用信息等级A级；</w:t>
      </w:r>
      <w:r>
        <w:rPr>
          <w:rFonts w:hint="eastAsia" w:ascii="仿宋_GB2312" w:hAnsi="仿宋_GB2312" w:eastAsia="仿宋_GB2312" w:cs="仿宋_GB2312"/>
          <w:color w:val="000000" w:themeColor="text1"/>
          <w:sz w:val="32"/>
          <w:szCs w:val="32"/>
          <w:lang w:eastAsia="zh-CN"/>
          <w14:textFill>
            <w14:solidFill>
              <w14:schemeClr w14:val="tx1"/>
            </w14:solidFill>
          </w14:textFill>
        </w:rPr>
        <w:t>（参照《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2023年度浙江省地矿信用等级名单</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Lines w:val="0"/>
        <w:pageBreakBefore w:val="0"/>
        <w:kinsoku/>
        <w:wordWrap/>
        <w:overflowPunct/>
        <w:topLinePunct w:val="0"/>
        <w:autoSpaceDE/>
        <w:autoSpaceDN/>
        <w:bidi w:val="0"/>
        <w:spacing w:line="560" w:lineRule="exact"/>
        <w:ind w:firstLine="640" w:firstLineChars="200"/>
        <w:textAlignment w:val="auto"/>
        <w:rPr>
          <w:rFonts w:hint="eastAsia"/>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近三年有地质勘</w:t>
      </w:r>
      <w:r>
        <w:rPr>
          <w:rFonts w:ascii="仿宋_GB2312" w:hAnsi="仿宋_GB2312" w:eastAsia="仿宋_GB2312" w:cs="仿宋_GB2312"/>
          <w:color w:val="000000" w:themeColor="text1"/>
          <w:sz w:val="32"/>
          <w:szCs w:val="32"/>
          <w14:textFill>
            <w14:solidFill>
              <w14:schemeClr w14:val="tx1"/>
            </w14:solidFill>
          </w14:textFill>
        </w:rPr>
        <w:t>查</w:t>
      </w:r>
      <w:r>
        <w:rPr>
          <w:rFonts w:hint="eastAsia" w:ascii="仿宋_GB2312" w:hAnsi="仿宋_GB2312" w:eastAsia="仿宋_GB2312" w:cs="仿宋_GB2312"/>
          <w:color w:val="000000" w:themeColor="text1"/>
          <w:sz w:val="32"/>
          <w:szCs w:val="32"/>
          <w14:textFill>
            <w14:solidFill>
              <w14:schemeClr w14:val="tx1"/>
            </w14:solidFill>
          </w14:textFill>
        </w:rPr>
        <w:t>及储量评估类似项目业绩；</w:t>
      </w:r>
    </w:p>
    <w:p>
      <w:pPr>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具有相应的技术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力量</w:t>
      </w:r>
      <w:r>
        <w:rPr>
          <w:rFonts w:hint="eastAsia" w:ascii="仿宋_GB2312" w:hAnsi="仿宋_GB2312" w:eastAsia="仿宋_GB2312" w:cs="仿宋_GB2312"/>
          <w:color w:val="000000" w:themeColor="text1"/>
          <w:sz w:val="32"/>
          <w:szCs w:val="32"/>
          <w14:textFill>
            <w14:solidFill>
              <w14:schemeClr w14:val="tx1"/>
            </w14:solidFill>
          </w14:textFill>
        </w:rPr>
        <w:t>，在本单位任职的地质类副高及以上职称人员不少于3人；</w:t>
      </w:r>
    </w:p>
    <w:p>
      <w:pPr>
        <w:pStyle w:val="2"/>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近三年未受到过相关部门行政处罚（出具承诺书）。</w:t>
      </w:r>
    </w:p>
    <w:p>
      <w:pPr>
        <w:pStyle w:val="2"/>
        <w:keepLines w:val="0"/>
        <w:pageBreakBefore w:val="0"/>
        <w:kinsoku/>
        <w:wordWrap/>
        <w:overflowPunct/>
        <w:topLinePunct w:val="0"/>
        <w:autoSpaceDE/>
        <w:autoSpaceDN/>
        <w:bidi w:val="0"/>
        <w:spacing w:line="560" w:lineRule="exact"/>
        <w:ind w:firstLine="643"/>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
          <w:bCs/>
          <w:color w:val="000000" w:themeColor="text1"/>
          <w:sz w:val="32"/>
          <w:szCs w:val="32"/>
          <w14:textFill>
            <w14:solidFill>
              <w14:schemeClr w14:val="tx1"/>
            </w14:solidFill>
          </w14:textFill>
        </w:rPr>
        <w:t>砂石资源（矿产品）价款评估类</w:t>
      </w:r>
    </w:p>
    <w:p>
      <w:pPr>
        <w:keepNext/>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持有有效的企业法人营业执照或事业单位法人证书；</w:t>
      </w:r>
    </w:p>
    <w:p>
      <w:pPr>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取得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矿业</w:t>
      </w:r>
      <w:r>
        <w:rPr>
          <w:rFonts w:hint="eastAsia" w:ascii="仿宋_GB2312" w:hAnsi="仿宋_GB2312" w:eastAsia="仿宋_GB2312" w:cs="仿宋_GB2312"/>
          <w:color w:val="000000" w:themeColor="text1"/>
          <w:sz w:val="32"/>
          <w:szCs w:val="32"/>
          <w14:textFill>
            <w14:solidFill>
              <w14:schemeClr w14:val="tx1"/>
            </w14:solidFill>
          </w14:textFill>
        </w:rPr>
        <w:t>权评估资质证书;</w:t>
      </w:r>
    </w:p>
    <w:p>
      <w:pPr>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已在浙江省自然资源厅备案；</w:t>
      </w:r>
    </w:p>
    <w:p>
      <w:pPr>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具有相应的技术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力量</w:t>
      </w:r>
      <w:r>
        <w:rPr>
          <w:rFonts w:hint="eastAsia" w:ascii="仿宋_GB2312" w:hAnsi="仿宋_GB2312" w:eastAsia="仿宋_GB2312" w:cs="仿宋_GB2312"/>
          <w:color w:val="000000" w:themeColor="text1"/>
          <w:sz w:val="32"/>
          <w:szCs w:val="32"/>
          <w14:textFill>
            <w14:solidFill>
              <w14:schemeClr w14:val="tx1"/>
            </w14:solidFill>
          </w14:textFill>
        </w:rPr>
        <w:t>，在本单位任职的矿业权评估师不少于3人；</w:t>
      </w:r>
    </w:p>
    <w:p>
      <w:pPr>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近三年未受到过相关部门行政处罚（出具承诺书）；</w:t>
      </w:r>
    </w:p>
    <w:p>
      <w:pPr>
        <w:keepLines w:val="0"/>
        <w:pageBreakBefore w:val="0"/>
        <w:kinsoku/>
        <w:wordWrap/>
        <w:overflowPunct/>
        <w:topLinePunct w:val="0"/>
        <w:autoSpaceDE/>
        <w:autoSpaceDN/>
        <w:bidi w:val="0"/>
        <w:spacing w:line="560" w:lineRule="exact"/>
        <w:ind w:firstLine="640" w:firstLineChars="200"/>
        <w:textAlignment w:val="auto"/>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具有良好的商业信誉。</w:t>
      </w:r>
    </w:p>
    <w:p>
      <w:pPr>
        <w:keepNext/>
        <w:keepLines w:val="0"/>
        <w:pageBreakBefore w:val="0"/>
        <w:widowControl/>
        <w:kinsoku/>
        <w:wordWrap/>
        <w:overflowPunct/>
        <w:topLinePunct w:val="0"/>
        <w:autoSpaceDE/>
        <w:autoSpaceDN/>
        <w:bidi w:val="0"/>
        <w:adjustRightInd w:val="0"/>
        <w:snapToGrid w:val="0"/>
        <w:spacing w:line="560" w:lineRule="exact"/>
        <w:ind w:firstLine="643" w:firstLineChars="200"/>
        <w:jc w:val="left"/>
        <w:textAlignment w:val="auto"/>
        <w:rPr>
          <w:rStyle w:val="7"/>
          <w:rFonts w:hint="eastAsia" w:ascii="仿宋_GB2312" w:hAnsi="仿宋_GB2312" w:eastAsia="仿宋_GB2312" w:cs="仿宋_GB2312"/>
          <w:snapToGrid w:val="0"/>
          <w:color w:val="000000" w:themeColor="text1"/>
          <w:kern w:val="0"/>
          <w:sz w:val="32"/>
          <w14:textFill>
            <w14:solidFill>
              <w14:schemeClr w14:val="tx1"/>
            </w14:solidFill>
          </w14:textFill>
        </w:rPr>
      </w:pPr>
      <w:r>
        <w:rPr>
          <w:rStyle w:val="7"/>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3.</w:t>
      </w:r>
      <w:r>
        <w:rPr>
          <w:rStyle w:val="7"/>
          <w:rFonts w:hint="eastAsia" w:ascii="仿宋_GB2312" w:hAnsi="仿宋_GB2312" w:eastAsia="仿宋_GB2312" w:cs="仿宋_GB2312"/>
          <w:snapToGrid w:val="0"/>
          <w:color w:val="000000" w:themeColor="text1"/>
          <w:kern w:val="0"/>
          <w:sz w:val="32"/>
          <w14:textFill>
            <w14:solidFill>
              <w14:schemeClr w14:val="tx1"/>
            </w14:solidFill>
          </w14:textFill>
        </w:rPr>
        <w:t>测绘类</w:t>
      </w:r>
    </w:p>
    <w:p>
      <w:pPr>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持有有效的企业法人营业执照或事业单位法人证书；</w:t>
      </w:r>
    </w:p>
    <w:p>
      <w:pPr>
        <w:pStyle w:val="2"/>
        <w:keepLines w:val="0"/>
        <w:pageBreakBefore w:val="0"/>
        <w:kinsoku/>
        <w:wordWrap/>
        <w:overflowPunct/>
        <w:topLinePunct w:val="0"/>
        <w:autoSpaceDE/>
        <w:autoSpaceDN/>
        <w:bidi w:val="0"/>
        <w:spacing w:line="560" w:lineRule="exact"/>
        <w:ind w:firstLine="640"/>
        <w:textAlignment w:val="auto"/>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拥有工程测量乙级及以上资质；</w:t>
      </w:r>
    </w:p>
    <w:p>
      <w:pPr>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具有相应的技术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力量</w:t>
      </w:r>
      <w:r>
        <w:rPr>
          <w:rFonts w:hint="eastAsia" w:ascii="仿宋_GB2312" w:hAnsi="仿宋_GB2312" w:eastAsia="仿宋_GB2312" w:cs="仿宋_GB2312"/>
          <w:color w:val="000000" w:themeColor="text1"/>
          <w:sz w:val="32"/>
          <w:szCs w:val="32"/>
          <w14:textFill>
            <w14:solidFill>
              <w14:schemeClr w14:val="tx1"/>
            </w14:solidFill>
          </w14:textFill>
        </w:rPr>
        <w:t>，在本单位任职的测绘类副高及以上职称人员不少于3人；</w:t>
      </w:r>
    </w:p>
    <w:p>
      <w:pPr>
        <w:pStyle w:val="2"/>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近三年未受到过相关部门行政处罚（出具承诺书）；</w:t>
      </w:r>
    </w:p>
    <w:p>
      <w:pPr>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具有良好的商业信誉。</w:t>
      </w:r>
    </w:p>
    <w:p>
      <w:pPr>
        <w:keepNext/>
        <w:keepLines w:val="0"/>
        <w:pageBreakBefore w:val="0"/>
        <w:widowControl/>
        <w:kinsoku/>
        <w:wordWrap/>
        <w:overflowPunct/>
        <w:topLinePunct w:val="0"/>
        <w:autoSpaceDE/>
        <w:autoSpaceDN/>
        <w:bidi w:val="0"/>
        <w:adjustRightInd w:val="0"/>
        <w:snapToGrid w:val="0"/>
        <w:spacing w:line="560" w:lineRule="exact"/>
        <w:ind w:firstLine="643" w:firstLineChars="200"/>
        <w:jc w:val="left"/>
        <w:textAlignment w:val="auto"/>
        <w:rPr>
          <w:rStyle w:val="7"/>
          <w:rFonts w:hint="eastAsia" w:ascii="仿宋_GB2312" w:hAnsi="仿宋_GB2312" w:eastAsia="仿宋_GB2312" w:cs="仿宋_GB2312"/>
          <w:snapToGrid w:val="0"/>
          <w:color w:val="000000" w:themeColor="text1"/>
          <w:kern w:val="0"/>
          <w:sz w:val="32"/>
          <w14:textFill>
            <w14:solidFill>
              <w14:schemeClr w14:val="tx1"/>
            </w14:solidFill>
          </w14:textFill>
        </w:rPr>
      </w:pPr>
      <w:r>
        <w:rPr>
          <w:rStyle w:val="7"/>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4.</w:t>
      </w:r>
      <w:r>
        <w:rPr>
          <w:rStyle w:val="7"/>
          <w:rFonts w:hint="eastAsia" w:ascii="仿宋_GB2312" w:hAnsi="仿宋_GB2312" w:eastAsia="仿宋_GB2312" w:cs="仿宋_GB2312"/>
          <w:snapToGrid w:val="0"/>
          <w:color w:val="000000" w:themeColor="text1"/>
          <w:kern w:val="0"/>
          <w:sz w:val="32"/>
          <w14:textFill>
            <w14:solidFill>
              <w14:schemeClr w14:val="tx1"/>
            </w14:solidFill>
          </w14:textFill>
        </w:rPr>
        <w:t>工程项目砂石资源的“三量”评估类</w:t>
      </w:r>
    </w:p>
    <w:p>
      <w:pPr>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持有有效的企业法人营业执照或事业单位法人证书；</w:t>
      </w:r>
    </w:p>
    <w:p>
      <w:pPr>
        <w:pStyle w:val="2"/>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具有甲级造价咨询资质证书或具有乙级及以上工程勘察专业类（岩土工程）资质；</w:t>
      </w:r>
    </w:p>
    <w:p>
      <w:pPr>
        <w:pStyle w:val="2"/>
        <w:keepLines w:val="0"/>
        <w:pageBreakBefore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具有公路、水利、房建专业的造价师各2名以上；</w:t>
      </w:r>
    </w:p>
    <w:p>
      <w:pPr>
        <w:pStyle w:val="2"/>
        <w:keepLines w:val="0"/>
        <w:pageBreakBefore w:val="0"/>
        <w:kinsoku/>
        <w:wordWrap/>
        <w:overflowPunct/>
        <w:topLinePunct w:val="0"/>
        <w:autoSpaceDE/>
        <w:autoSpaceDN/>
        <w:bidi w:val="0"/>
        <w:spacing w:line="560" w:lineRule="exact"/>
        <w:ind w:left="0" w:leftChars="0" w:firstLine="640" w:firstLineChars="200"/>
        <w:textAlignment w:val="auto"/>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近三年未受到过相关部门行政处罚（出具承诺书）；</w:t>
      </w:r>
    </w:p>
    <w:p>
      <w:pPr>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具有良好的商业信誉。</w:t>
      </w:r>
    </w:p>
    <w:p>
      <w:pPr>
        <w:pStyle w:val="2"/>
        <w:keepLines w:val="0"/>
        <w:pageBreakBefore w:val="0"/>
        <w:kinsoku/>
        <w:wordWrap/>
        <w:overflowPunct/>
        <w:topLinePunct w:val="0"/>
        <w:autoSpaceDE/>
        <w:autoSpaceDN/>
        <w:bidi w:val="0"/>
        <w:spacing w:line="560" w:lineRule="exact"/>
        <w:ind w:firstLine="640"/>
        <w:textAlignment w:val="auto"/>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（二）</w:t>
      </w:r>
      <w:r>
        <w:rPr>
          <w:rFonts w:hint="eastAsia" w:ascii="楷体_GB2312" w:hAnsi="楷体_GB2312" w:eastAsia="楷体_GB2312" w:cs="楷体_GB2312"/>
          <w:color w:val="000000" w:themeColor="text1"/>
          <w:sz w:val="32"/>
          <w:szCs w:val="32"/>
          <w14:textFill>
            <w14:solidFill>
              <w14:schemeClr w14:val="tx1"/>
            </w14:solidFill>
          </w14:textFill>
        </w:rPr>
        <w:t>入库程序</w:t>
      </w:r>
    </w:p>
    <w:p>
      <w:pPr>
        <w:keepNext/>
        <w:keepLines w:val="0"/>
        <w:pageBreakBefore w:val="0"/>
        <w:widowControl/>
        <w:kinsoku/>
        <w:wordWrap/>
        <w:overflowPunct/>
        <w:topLinePunct w:val="0"/>
        <w:autoSpaceDE/>
        <w:autoSpaceDN/>
        <w:bidi w:val="0"/>
        <w:adjustRightInd w:val="0"/>
        <w:snapToGrid w:val="0"/>
        <w:spacing w:line="560" w:lineRule="exact"/>
        <w:ind w:firstLine="643" w:firstLineChars="200"/>
        <w:jc w:val="left"/>
        <w:textAlignment w:val="auto"/>
        <w:rPr>
          <w:rStyle w:val="7"/>
          <w:rFonts w:hint="eastAsia" w:ascii="仿宋_GB2312" w:hAnsi="仿宋_GB2312" w:eastAsia="仿宋_GB2312" w:cs="仿宋_GB2312"/>
          <w:snapToGrid w:val="0"/>
          <w:color w:val="000000" w:themeColor="text1"/>
          <w:kern w:val="0"/>
          <w:sz w:val="32"/>
          <w14:textFill>
            <w14:solidFill>
              <w14:schemeClr w14:val="tx1"/>
            </w14:solidFill>
          </w14:textFill>
        </w:rPr>
      </w:pPr>
      <w:r>
        <w:rPr>
          <w:rStyle w:val="7"/>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1.</w:t>
      </w:r>
      <w:r>
        <w:rPr>
          <w:rStyle w:val="7"/>
          <w:rFonts w:hint="eastAsia" w:ascii="仿宋_GB2312" w:hAnsi="仿宋_GB2312" w:eastAsia="仿宋_GB2312" w:cs="仿宋_GB2312"/>
          <w:snapToGrid w:val="0"/>
          <w:color w:val="000000" w:themeColor="text1"/>
          <w:kern w:val="0"/>
          <w:sz w:val="32"/>
          <w14:textFill>
            <w14:solidFill>
              <w14:schemeClr w14:val="tx1"/>
            </w14:solidFill>
          </w14:textFill>
        </w:rPr>
        <w:t>公开报名</w:t>
      </w:r>
    </w:p>
    <w:p>
      <w:pPr>
        <w:pStyle w:val="2"/>
        <w:keepLines w:val="0"/>
        <w:pageBreakBefore w:val="0"/>
        <w:kinsoku/>
        <w:wordWrap/>
        <w:overflowPunct/>
        <w:topLinePunct w:val="0"/>
        <w:autoSpaceDE/>
        <w:autoSpaceDN/>
        <w:bidi w:val="0"/>
        <w:spacing w:line="560" w:lineRule="exact"/>
        <w:ind w:firstLine="64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 w:eastAsia="zh-CN"/>
          <w14:textFill>
            <w14:solidFill>
              <w14:schemeClr w14:val="tx1"/>
            </w14:solidFill>
          </w14:textFill>
        </w:rPr>
        <w:t>在丽水市政府、</w:t>
      </w:r>
      <w:r>
        <w:rPr>
          <w:rFonts w:hint="eastAsia" w:ascii="仿宋_GB2312" w:hAnsi="仿宋_GB2312" w:eastAsia="仿宋_GB2312" w:cs="仿宋_GB2312"/>
          <w:color w:val="000000" w:themeColor="text1"/>
          <w:sz w:val="32"/>
          <w:szCs w:val="32"/>
          <w:lang w:val="en"/>
          <w14:textFill>
            <w14:solidFill>
              <w14:schemeClr w14:val="tx1"/>
            </w14:solidFill>
          </w14:textFill>
        </w:rPr>
        <w:t>丽水市自然资源局</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、公共</w:t>
      </w:r>
      <w:bookmarkStart w:id="0" w:name="_GoBack"/>
      <w:bookmarkEnd w:id="0"/>
      <w:r>
        <w:rPr>
          <w:rFonts w:hint="eastAsia" w:ascii="仿宋_GB2312" w:hAnsi="仿宋_GB2312" w:eastAsia="仿宋_GB2312" w:cs="仿宋_GB2312"/>
          <w:color w:val="000000" w:themeColor="text1"/>
          <w:sz w:val="32"/>
          <w:szCs w:val="32"/>
          <w:lang w:val="en" w:eastAsia="zh-CN"/>
          <w14:textFill>
            <w14:solidFill>
              <w14:schemeClr w14:val="tx1"/>
            </w14:solidFill>
          </w14:textFill>
        </w:rPr>
        <w:t>资源交易中心等</w:t>
      </w:r>
      <w:r>
        <w:rPr>
          <w:rFonts w:hint="eastAsia" w:ascii="仿宋_GB2312" w:hAnsi="仿宋_GB2312" w:eastAsia="仿宋_GB2312" w:cs="仿宋_GB2312"/>
          <w:color w:val="000000" w:themeColor="text1"/>
          <w:sz w:val="32"/>
          <w:szCs w:val="32"/>
          <w:lang w:val="en"/>
          <w14:textFill>
            <w14:solidFill>
              <w14:schemeClr w14:val="tx1"/>
            </w14:solidFill>
          </w14:textFill>
        </w:rPr>
        <w:t>门户网站发布丽水市砂石行业中介机构白名单库</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扩容</w:t>
      </w:r>
      <w:r>
        <w:rPr>
          <w:rFonts w:hint="eastAsia" w:ascii="仿宋_GB2312" w:hAnsi="仿宋_GB2312" w:eastAsia="仿宋_GB2312" w:cs="仿宋_GB2312"/>
          <w:color w:val="000000" w:themeColor="text1"/>
          <w:sz w:val="32"/>
          <w:szCs w:val="32"/>
          <w:lang w:val="en"/>
          <w14:textFill>
            <w14:solidFill>
              <w14:schemeClr w14:val="tx1"/>
            </w14:solidFill>
          </w14:textFill>
        </w:rPr>
        <w:t>的公告，</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并在市自然资源局、丽水发布、丽水在线微信公众号等平台上同步发布。</w:t>
      </w:r>
      <w:r>
        <w:rPr>
          <w:rFonts w:hint="eastAsia" w:ascii="仿宋_GB2312" w:hAnsi="仿宋_GB2312" w:eastAsia="仿宋_GB2312" w:cs="仿宋_GB2312"/>
          <w:color w:val="000000" w:themeColor="text1"/>
          <w:sz w:val="32"/>
          <w:szCs w:val="32"/>
          <w:lang w:val="en"/>
          <w14:textFill>
            <w14:solidFill>
              <w14:schemeClr w14:val="tx1"/>
            </w14:solidFill>
          </w14:textFill>
        </w:rPr>
        <w:t>符合条件的企事业单位</w:t>
      </w:r>
      <w:r>
        <w:rPr>
          <w:rFonts w:ascii="仿宋_GB2312" w:hAnsi="仿宋_GB2312" w:eastAsia="仿宋_GB2312" w:cs="仿宋_GB2312"/>
          <w:color w:val="000000" w:themeColor="text1"/>
          <w:sz w:val="32"/>
          <w:szCs w:val="32"/>
          <w14:textFill>
            <w14:solidFill>
              <w14:schemeClr w14:val="tx1"/>
            </w14:solidFill>
          </w14:textFill>
        </w:rPr>
        <w:t>通过电子邮件</w:t>
      </w:r>
      <w:r>
        <w:rPr>
          <w:rFonts w:hint="eastAsia" w:ascii="仿宋_GB2312" w:hAnsi="仿宋_GB2312" w:eastAsia="仿宋_GB2312" w:cs="仿宋_GB2312"/>
          <w:color w:val="000000" w:themeColor="text1"/>
          <w:sz w:val="32"/>
          <w:szCs w:val="32"/>
          <w:lang w:val="en"/>
          <w14:textFill>
            <w14:solidFill>
              <w14:schemeClr w14:val="tx1"/>
            </w14:solidFill>
          </w14:textFill>
        </w:rPr>
        <w:t>报名，</w:t>
      </w:r>
      <w:r>
        <w:rPr>
          <w:rFonts w:ascii="仿宋_GB2312" w:hAnsi="仿宋_GB2312" w:eastAsia="仿宋_GB2312" w:cs="仿宋_GB2312"/>
          <w:color w:val="000000" w:themeColor="text1"/>
          <w:sz w:val="32"/>
          <w:szCs w:val="32"/>
          <w14:textFill>
            <w14:solidFill>
              <w14:schemeClr w14:val="tx1"/>
            </w14:solidFill>
          </w14:textFill>
        </w:rPr>
        <w:t>相关报名材</w:t>
      </w:r>
      <w:r>
        <w:rPr>
          <w:rFonts w:hint="eastAsia" w:ascii="仿宋_GB2312" w:hAnsi="仿宋_GB2312" w:eastAsia="仿宋_GB2312" w:cs="仿宋_GB2312"/>
          <w:color w:val="000000" w:themeColor="text1"/>
          <w:sz w:val="32"/>
          <w:szCs w:val="32"/>
          <w:lang w:val="en"/>
          <w14:textFill>
            <w14:solidFill>
              <w14:schemeClr w14:val="tx1"/>
            </w14:solidFill>
          </w14:textFill>
        </w:rPr>
        <w:t>料</w:t>
      </w:r>
      <w:r>
        <w:rPr>
          <w:rFonts w:ascii="仿宋_GB2312" w:hAnsi="仿宋_GB2312" w:eastAsia="仿宋_GB2312" w:cs="仿宋_GB2312"/>
          <w:color w:val="000000" w:themeColor="text1"/>
          <w:sz w:val="32"/>
          <w:szCs w:val="32"/>
          <w14:textFill>
            <w14:solidFill>
              <w14:schemeClr w14:val="tx1"/>
            </w14:solidFill>
          </w14:textFill>
        </w:rPr>
        <w:t>以“单位名称+申请入库类别”为文件名，</w:t>
      </w:r>
      <w:r>
        <w:rPr>
          <w:rFonts w:hint="eastAsia" w:ascii="仿宋_GB2312" w:hAnsi="仿宋_GB2312" w:eastAsia="仿宋_GB2312" w:cs="仿宋_GB2312"/>
          <w:color w:val="000000" w:themeColor="text1"/>
          <w:sz w:val="32"/>
          <w:szCs w:val="32"/>
          <w:lang w:eastAsia="zh-CN"/>
          <w14:textFill>
            <w14:solidFill>
              <w14:schemeClr w14:val="tx1"/>
            </w14:solidFill>
          </w14:textFill>
        </w:rPr>
        <w:t>提供联系人及联系方式，</w:t>
      </w:r>
      <w:r>
        <w:rPr>
          <w:rFonts w:hint="eastAsia" w:ascii="仿宋_GB2312" w:hAnsi="仿宋_GB2312" w:eastAsia="仿宋_GB2312" w:cs="仿宋_GB2312"/>
          <w:color w:val="000000" w:themeColor="text1"/>
          <w:sz w:val="32"/>
          <w:szCs w:val="32"/>
          <w:lang w:val="en"/>
          <w14:textFill>
            <w14:solidFill>
              <w14:schemeClr w14:val="tx1"/>
            </w14:solidFill>
          </w14:textFill>
        </w:rPr>
        <w:t>发送</w:t>
      </w:r>
      <w:r>
        <w:rPr>
          <w:rFonts w:ascii="仿宋_GB2312" w:hAnsi="仿宋_GB2312" w:eastAsia="仿宋_GB2312" w:cs="仿宋_GB2312"/>
          <w:color w:val="000000" w:themeColor="text1"/>
          <w:sz w:val="32"/>
          <w:szCs w:val="32"/>
          <w14:textFill>
            <w14:solidFill>
              <w14:schemeClr w14:val="tx1"/>
            </w14:solidFill>
          </w14:textFill>
        </w:rPr>
        <w:t>至指定</w:t>
      </w:r>
      <w:r>
        <w:rPr>
          <w:rFonts w:hint="eastAsia" w:ascii="仿宋_GB2312" w:hAnsi="仿宋_GB2312" w:eastAsia="仿宋_GB2312" w:cs="仿宋_GB2312"/>
          <w:color w:val="000000" w:themeColor="text1"/>
          <w:sz w:val="32"/>
          <w:szCs w:val="32"/>
          <w:lang w:val="en"/>
          <w14:textFill>
            <w14:solidFill>
              <w14:schemeClr w14:val="tx1"/>
            </w14:solidFill>
          </w14:textFill>
        </w:rPr>
        <w:t>邮箱</w:t>
      </w:r>
      <w:r>
        <w:rPr>
          <w:rFonts w:ascii="仿宋_GB2312" w:hAnsi="仿宋_GB2312" w:eastAsia="仿宋_GB2312" w:cs="仿宋_GB2312"/>
          <w:color w:val="000000" w:themeColor="text1"/>
          <w:sz w:val="32"/>
          <w:szCs w:val="32"/>
          <w14:textFill>
            <w14:solidFill>
              <w14:schemeClr w14:val="tx1"/>
            </w14:solidFill>
          </w14:textFill>
        </w:rPr>
        <w:t>：</w:t>
      </w:r>
    </w:p>
    <w:p>
      <w:pPr>
        <w:pStyle w:val="2"/>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lszrzyj2021@163.com。</w:t>
      </w:r>
    </w:p>
    <w:p>
      <w:pPr>
        <w:pStyle w:val="2"/>
        <w:keepLines w:val="0"/>
        <w:pageBreakBefore w:val="0"/>
        <w:kinsoku/>
        <w:wordWrap/>
        <w:overflowPunct/>
        <w:topLinePunct w:val="0"/>
        <w:autoSpaceDE/>
        <w:autoSpaceDN/>
        <w:bidi w:val="0"/>
        <w:spacing w:line="560" w:lineRule="exact"/>
        <w:ind w:firstLine="640" w:firstLineChars="0"/>
        <w:textAlignment w:val="auto"/>
        <w:rPr>
          <w:rFonts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color w:val="000000" w:themeColor="text1"/>
          <w:sz w:val="32"/>
          <w:szCs w:val="32"/>
          <w14:textFill>
            <w14:solidFill>
              <w14:schemeClr w14:val="tx1"/>
            </w14:solidFill>
          </w14:textFill>
        </w:rPr>
        <w:t>报名所需材料如下：</w:t>
      </w:r>
    </w:p>
    <w:p>
      <w:pPr>
        <w:pStyle w:val="2"/>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入库申请报告；</w:t>
      </w:r>
    </w:p>
    <w:p>
      <w:pPr>
        <w:pStyle w:val="2"/>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企业法人营业执照或事业单位法人证书；</w:t>
      </w:r>
    </w:p>
    <w:p>
      <w:pPr>
        <w:pStyle w:val="2"/>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申请类别相对应的资格</w:t>
      </w:r>
      <w:r>
        <w:rPr>
          <w:rFonts w:hint="eastAsia" w:ascii="仿宋_GB2312" w:hAnsi="仿宋_GB2312" w:eastAsia="仿宋_GB2312" w:cs="仿宋_GB2312"/>
          <w:color w:val="000000" w:themeColor="text1"/>
          <w:sz w:val="32"/>
          <w:szCs w:val="32"/>
          <w14:textFill>
            <w14:solidFill>
              <w14:schemeClr w14:val="tx1"/>
            </w14:solidFill>
          </w14:textFill>
        </w:rPr>
        <w:t>证明材料</w:t>
      </w:r>
      <w:r>
        <w:rPr>
          <w:rFonts w:ascii="仿宋_GB2312" w:hAnsi="仿宋_GB2312" w:eastAsia="仿宋_GB2312" w:cs="仿宋_GB2312"/>
          <w:color w:val="000000" w:themeColor="text1"/>
          <w:sz w:val="32"/>
          <w:szCs w:val="32"/>
          <w14:textFill>
            <w14:solidFill>
              <w14:schemeClr w14:val="tx1"/>
            </w14:solidFill>
          </w14:textFill>
        </w:rPr>
        <w:t>或资质证书；</w:t>
      </w:r>
    </w:p>
    <w:p>
      <w:pPr>
        <w:pStyle w:val="2"/>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技术人员名单、职称证书（矿业权评估师证书）、社会保险参保证明；</w:t>
      </w:r>
    </w:p>
    <w:p>
      <w:pPr>
        <w:pStyle w:val="2"/>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业绩证明材料；</w:t>
      </w:r>
    </w:p>
    <w:p>
      <w:pPr>
        <w:pStyle w:val="2"/>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承诺书。</w:t>
      </w:r>
    </w:p>
    <w:p>
      <w:pPr>
        <w:keepNext/>
        <w:keepLines w:val="0"/>
        <w:pageBreakBefore w:val="0"/>
        <w:widowControl/>
        <w:kinsoku/>
        <w:wordWrap/>
        <w:overflowPunct/>
        <w:topLinePunct w:val="0"/>
        <w:autoSpaceDE/>
        <w:autoSpaceDN/>
        <w:bidi w:val="0"/>
        <w:adjustRightInd w:val="0"/>
        <w:snapToGrid w:val="0"/>
        <w:spacing w:line="560" w:lineRule="exact"/>
        <w:ind w:firstLine="643" w:firstLineChars="200"/>
        <w:jc w:val="left"/>
        <w:textAlignment w:val="auto"/>
        <w:rPr>
          <w:rStyle w:val="7"/>
          <w:rFonts w:hint="eastAsia" w:ascii="仿宋_GB2312" w:hAnsi="仿宋_GB2312" w:eastAsia="仿宋_GB2312" w:cs="仿宋_GB2312"/>
          <w:snapToGrid w:val="0"/>
          <w:color w:val="000000" w:themeColor="text1"/>
          <w:kern w:val="0"/>
          <w:sz w:val="32"/>
          <w:lang w:val="en"/>
          <w14:textFill>
            <w14:solidFill>
              <w14:schemeClr w14:val="tx1"/>
            </w14:solidFill>
          </w14:textFill>
        </w:rPr>
      </w:pPr>
      <w:r>
        <w:rPr>
          <w:rStyle w:val="7"/>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2.</w:t>
      </w:r>
      <w:r>
        <w:rPr>
          <w:rStyle w:val="7"/>
          <w:rFonts w:hint="eastAsia" w:ascii="仿宋_GB2312" w:hAnsi="仿宋_GB2312" w:eastAsia="仿宋_GB2312" w:cs="仿宋_GB2312"/>
          <w:snapToGrid w:val="0"/>
          <w:color w:val="000000" w:themeColor="text1"/>
          <w:kern w:val="0"/>
          <w:sz w:val="32"/>
          <w:lang w:val="en"/>
          <w14:textFill>
            <w14:solidFill>
              <w14:schemeClr w14:val="tx1"/>
            </w14:solidFill>
          </w14:textFill>
        </w:rPr>
        <w:t>资格初审</w:t>
      </w:r>
    </w:p>
    <w:p>
      <w:pPr>
        <w:pStyle w:val="2"/>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丽水市自然资源局</w:t>
      </w:r>
      <w:r>
        <w:rPr>
          <w:rFonts w:hint="eastAsia" w:ascii="仿宋_GB2312" w:hAnsi="仿宋_GB2312" w:eastAsia="仿宋_GB2312" w:cs="仿宋_GB2312"/>
          <w:color w:val="000000" w:themeColor="text1"/>
          <w:sz w:val="32"/>
          <w:szCs w:val="32"/>
          <w14:textFill>
            <w14:solidFill>
              <w14:schemeClr w14:val="tx1"/>
            </w14:solidFill>
          </w14:textFill>
        </w:rPr>
        <w:t>组织相关处室和事业单位负责人，</w:t>
      </w:r>
      <w:r>
        <w:rPr>
          <w:rFonts w:hint="eastAsia" w:ascii="仿宋_GB2312" w:hAnsi="仿宋_GB2312" w:eastAsia="仿宋_GB2312" w:cs="仿宋_GB2312"/>
          <w:color w:val="000000" w:themeColor="text1"/>
          <w:sz w:val="32"/>
          <w:szCs w:val="32"/>
          <w:lang w:val="en"/>
          <w14:textFill>
            <w14:solidFill>
              <w14:schemeClr w14:val="tx1"/>
            </w14:solidFill>
          </w14:textFill>
        </w:rPr>
        <w:t>对照入库条件逐一审核报名的企事业单位是否符合相关要求，形成初审入围的企事业名单。</w:t>
      </w:r>
    </w:p>
    <w:p>
      <w:pPr>
        <w:keepNext/>
        <w:keepLines w:val="0"/>
        <w:pageBreakBefore w:val="0"/>
        <w:widowControl/>
        <w:kinsoku/>
        <w:wordWrap/>
        <w:overflowPunct/>
        <w:topLinePunct w:val="0"/>
        <w:autoSpaceDE/>
        <w:autoSpaceDN/>
        <w:bidi w:val="0"/>
        <w:adjustRightInd w:val="0"/>
        <w:snapToGrid w:val="0"/>
        <w:spacing w:line="560" w:lineRule="exact"/>
        <w:ind w:firstLine="643" w:firstLineChars="200"/>
        <w:jc w:val="left"/>
        <w:textAlignment w:val="auto"/>
        <w:rPr>
          <w:rStyle w:val="7"/>
          <w:rFonts w:hint="eastAsia" w:ascii="仿宋_GB2312" w:hAnsi="仿宋_GB2312" w:eastAsia="仿宋_GB2312" w:cs="仿宋_GB2312"/>
          <w:snapToGrid w:val="0"/>
          <w:color w:val="000000" w:themeColor="text1"/>
          <w:kern w:val="0"/>
          <w:sz w:val="32"/>
          <w14:textFill>
            <w14:solidFill>
              <w14:schemeClr w14:val="tx1"/>
            </w14:solidFill>
          </w14:textFill>
        </w:rPr>
      </w:pPr>
      <w:r>
        <w:rPr>
          <w:rStyle w:val="7"/>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3.</w:t>
      </w:r>
      <w:r>
        <w:rPr>
          <w:rStyle w:val="7"/>
          <w:rFonts w:hint="eastAsia" w:ascii="仿宋_GB2312" w:hAnsi="仿宋_GB2312" w:eastAsia="仿宋_GB2312" w:cs="仿宋_GB2312"/>
          <w:snapToGrid w:val="0"/>
          <w:color w:val="000000" w:themeColor="text1"/>
          <w:kern w:val="0"/>
          <w:sz w:val="32"/>
          <w:lang w:val="en"/>
          <w14:textFill>
            <w14:solidFill>
              <w14:schemeClr w14:val="tx1"/>
            </w14:solidFill>
          </w14:textFill>
        </w:rPr>
        <w:t>专家</w:t>
      </w:r>
      <w:r>
        <w:rPr>
          <w:rStyle w:val="7"/>
          <w:rFonts w:hint="eastAsia" w:ascii="仿宋_GB2312" w:hAnsi="仿宋_GB2312" w:eastAsia="仿宋_GB2312" w:cs="仿宋_GB2312"/>
          <w:snapToGrid w:val="0"/>
          <w:color w:val="000000" w:themeColor="text1"/>
          <w:kern w:val="0"/>
          <w:sz w:val="32"/>
          <w14:textFill>
            <w14:solidFill>
              <w14:schemeClr w14:val="tx1"/>
            </w14:solidFill>
          </w14:textFill>
        </w:rPr>
        <w:t>论证</w:t>
      </w:r>
    </w:p>
    <w:p>
      <w:pPr>
        <w:pStyle w:val="2"/>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丽水市自然资源局组织专家对经初审入围的企事业单位进行评审，对基本符合要求的企事业单位进行分析论证。</w:t>
      </w:r>
    </w:p>
    <w:p>
      <w:pPr>
        <w:keepNext/>
        <w:keepLines w:val="0"/>
        <w:pageBreakBefore w:val="0"/>
        <w:widowControl/>
        <w:kinsoku/>
        <w:wordWrap/>
        <w:overflowPunct/>
        <w:topLinePunct w:val="0"/>
        <w:autoSpaceDE/>
        <w:autoSpaceDN/>
        <w:bidi w:val="0"/>
        <w:adjustRightInd w:val="0"/>
        <w:snapToGrid w:val="0"/>
        <w:spacing w:line="560" w:lineRule="exact"/>
        <w:ind w:firstLine="643" w:firstLineChars="200"/>
        <w:jc w:val="left"/>
        <w:textAlignment w:val="auto"/>
        <w:rPr>
          <w:rStyle w:val="7"/>
          <w:rFonts w:hint="eastAsia" w:ascii="仿宋_GB2312" w:hAnsi="仿宋_GB2312" w:eastAsia="仿宋_GB2312" w:cs="仿宋_GB2312"/>
          <w:snapToGrid w:val="0"/>
          <w:color w:val="000000" w:themeColor="text1"/>
          <w:kern w:val="0"/>
          <w:sz w:val="32"/>
          <w:lang w:val="en"/>
          <w14:textFill>
            <w14:solidFill>
              <w14:schemeClr w14:val="tx1"/>
            </w14:solidFill>
          </w14:textFill>
        </w:rPr>
      </w:pPr>
      <w:r>
        <w:rPr>
          <w:rStyle w:val="7"/>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4.</w:t>
      </w:r>
      <w:r>
        <w:rPr>
          <w:rStyle w:val="7"/>
          <w:rFonts w:hint="eastAsia" w:ascii="仿宋_GB2312" w:hAnsi="仿宋_GB2312" w:eastAsia="仿宋_GB2312" w:cs="仿宋_GB2312"/>
          <w:snapToGrid w:val="0"/>
          <w:color w:val="000000" w:themeColor="text1"/>
          <w:kern w:val="0"/>
          <w:sz w:val="32"/>
          <w14:textFill>
            <w14:solidFill>
              <w14:schemeClr w14:val="tx1"/>
            </w14:solidFill>
          </w14:textFill>
        </w:rPr>
        <w:t>审核确定</w:t>
      </w:r>
    </w:p>
    <w:p>
      <w:pPr>
        <w:pStyle w:val="2"/>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丽水市自然资源局将经专家分析论证后符合条件的企事业单位名单，报丽水市砂石资源综合管理领导小组审核，确定</w:t>
      </w:r>
      <w:r>
        <w:rPr>
          <w:rFonts w:ascii="仿宋_GB2312" w:hAnsi="仿宋_GB2312" w:eastAsia="仿宋_GB2312" w:cs="仿宋_GB2312"/>
          <w:color w:val="000000" w:themeColor="text1"/>
          <w:sz w:val="32"/>
          <w:szCs w:val="32"/>
          <w14:textFill>
            <w14:solidFill>
              <w14:schemeClr w14:val="tx1"/>
            </w14:solidFill>
          </w14:textFill>
        </w:rPr>
        <w:t>拟</w:t>
      </w:r>
      <w:r>
        <w:rPr>
          <w:rFonts w:hint="eastAsia" w:ascii="仿宋_GB2312" w:hAnsi="仿宋_GB2312" w:eastAsia="仿宋_GB2312" w:cs="仿宋_GB2312"/>
          <w:color w:val="000000" w:themeColor="text1"/>
          <w:sz w:val="32"/>
          <w:szCs w:val="32"/>
          <w:lang w:val="en"/>
          <w14:textFill>
            <w14:solidFill>
              <w14:schemeClr w14:val="tx1"/>
            </w14:solidFill>
          </w14:textFill>
        </w:rPr>
        <w:t>定入围白名单库的企事业单位。</w:t>
      </w:r>
    </w:p>
    <w:p>
      <w:pPr>
        <w:keepNext/>
        <w:keepLines w:val="0"/>
        <w:pageBreakBefore w:val="0"/>
        <w:widowControl/>
        <w:kinsoku/>
        <w:wordWrap/>
        <w:overflowPunct/>
        <w:topLinePunct w:val="0"/>
        <w:autoSpaceDE/>
        <w:autoSpaceDN/>
        <w:bidi w:val="0"/>
        <w:adjustRightInd w:val="0"/>
        <w:snapToGrid w:val="0"/>
        <w:spacing w:line="560" w:lineRule="exact"/>
        <w:ind w:firstLine="643" w:firstLineChars="200"/>
        <w:jc w:val="left"/>
        <w:textAlignment w:val="auto"/>
        <w:rPr>
          <w:rStyle w:val="7"/>
          <w:rFonts w:hint="eastAsia" w:ascii="仿宋_GB2312" w:hAnsi="仿宋_GB2312" w:eastAsia="仿宋_GB2312" w:cs="仿宋_GB2312"/>
          <w:snapToGrid w:val="0"/>
          <w:color w:val="000000" w:themeColor="text1"/>
          <w:kern w:val="0"/>
          <w:sz w:val="32"/>
          <w:lang w:val="en"/>
          <w14:textFill>
            <w14:solidFill>
              <w14:schemeClr w14:val="tx1"/>
            </w14:solidFill>
          </w14:textFill>
        </w:rPr>
      </w:pPr>
      <w:r>
        <w:rPr>
          <w:rStyle w:val="7"/>
          <w:rFonts w:hint="eastAsia" w:ascii="仿宋_GB2312" w:hAnsi="仿宋_GB2312" w:eastAsia="仿宋_GB2312" w:cs="仿宋_GB2312"/>
          <w:snapToGrid w:val="0"/>
          <w:color w:val="000000" w:themeColor="text1"/>
          <w:kern w:val="0"/>
          <w:sz w:val="32"/>
          <w:lang w:val="en-US" w:eastAsia="zh-CN"/>
          <w14:textFill>
            <w14:solidFill>
              <w14:schemeClr w14:val="tx1"/>
            </w14:solidFill>
          </w14:textFill>
        </w:rPr>
        <w:t>5.</w:t>
      </w:r>
      <w:r>
        <w:rPr>
          <w:rStyle w:val="7"/>
          <w:rFonts w:hint="eastAsia" w:ascii="仿宋_GB2312" w:hAnsi="仿宋_GB2312" w:eastAsia="仿宋_GB2312" w:cs="仿宋_GB2312"/>
          <w:snapToGrid w:val="0"/>
          <w:color w:val="000000" w:themeColor="text1"/>
          <w:kern w:val="0"/>
          <w:sz w:val="32"/>
          <w:lang w:val="en"/>
          <w14:textFill>
            <w14:solidFill>
              <w14:schemeClr w14:val="tx1"/>
            </w14:solidFill>
          </w14:textFill>
        </w:rPr>
        <w:t>公示入库</w:t>
      </w:r>
    </w:p>
    <w:p>
      <w:pPr>
        <w:keepLines w:val="0"/>
        <w:pageBreakBefore w:val="0"/>
        <w:kinsoku/>
        <w:wordWrap/>
        <w:overflowPunct/>
        <w:topLinePunct w:val="0"/>
        <w:autoSpaceDE/>
        <w:autoSpaceDN/>
        <w:bidi w:val="0"/>
        <w:spacing w:line="560" w:lineRule="exact"/>
        <w:ind w:firstLine="640" w:firstLineChars="200"/>
        <w:textAlignment w:val="auto"/>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入围白名单库的企事业单位通过</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丽水市政府、</w:t>
      </w:r>
      <w:r>
        <w:rPr>
          <w:rFonts w:hint="eastAsia" w:ascii="仿宋_GB2312" w:hAnsi="仿宋_GB2312" w:eastAsia="仿宋_GB2312" w:cs="仿宋_GB2312"/>
          <w:color w:val="000000" w:themeColor="text1"/>
          <w:sz w:val="32"/>
          <w:szCs w:val="32"/>
          <w:lang w:val="en"/>
          <w14:textFill>
            <w14:solidFill>
              <w14:schemeClr w14:val="tx1"/>
            </w14:solidFill>
          </w14:textFill>
        </w:rPr>
        <w:t>丽水市自然资源局</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、公共资源交易中心等</w:t>
      </w:r>
      <w:r>
        <w:rPr>
          <w:rFonts w:hint="eastAsia" w:ascii="仿宋_GB2312" w:hAnsi="仿宋_GB2312" w:eastAsia="仿宋_GB2312" w:cs="仿宋_GB2312"/>
          <w:color w:val="000000" w:themeColor="text1"/>
          <w:sz w:val="32"/>
          <w:szCs w:val="32"/>
          <w:lang w:val="en"/>
          <w14:textFill>
            <w14:solidFill>
              <w14:schemeClr w14:val="tx1"/>
            </w14:solidFill>
          </w14:textFill>
        </w:rPr>
        <w:t>门户网站</w:t>
      </w:r>
      <w:r>
        <w:rPr>
          <w:rFonts w:hint="eastAsia" w:ascii="仿宋_GB2312" w:hAnsi="仿宋_GB2312" w:eastAsia="仿宋_GB2312" w:cs="仿宋_GB2312"/>
          <w:color w:val="000000" w:themeColor="text1"/>
          <w:sz w:val="32"/>
          <w:szCs w:val="32"/>
          <w14:textFill>
            <w14:solidFill>
              <w14:schemeClr w14:val="tx1"/>
            </w14:solidFill>
          </w14:textFill>
        </w:rPr>
        <w:t>公示7个工作日，</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并在市自然资源局、丽水发布、丽水在线微信公众号等平台上同步公示，</w:t>
      </w:r>
      <w:r>
        <w:rPr>
          <w:rFonts w:hint="eastAsia" w:ascii="仿宋_GB2312" w:hAnsi="仿宋_GB2312" w:eastAsia="仿宋_GB2312" w:cs="仿宋_GB2312"/>
          <w:color w:val="000000" w:themeColor="text1"/>
          <w:sz w:val="32"/>
          <w:szCs w:val="32"/>
          <w14:textFill>
            <w14:solidFill>
              <w14:schemeClr w14:val="tx1"/>
            </w14:solidFill>
          </w14:textFill>
        </w:rPr>
        <w:t>无异议后正式入库。</w:t>
      </w:r>
    </w:p>
    <w:p>
      <w:pPr>
        <w:pStyle w:val="2"/>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黑体" w:hAnsi="黑体" w:eastAsia="黑体" w:cs="黑体"/>
          <w:color w:val="000000" w:themeColor="text1"/>
          <w:sz w:val="32"/>
          <w:szCs w:val="32"/>
          <w:lang w:val="en"/>
          <w14:textFill>
            <w14:solidFill>
              <w14:schemeClr w14:val="tx1"/>
            </w14:solidFill>
          </w14:textFill>
        </w:rPr>
      </w:pPr>
      <w:r>
        <w:rPr>
          <w:rFonts w:hint="eastAsia" w:ascii="黑体" w:hAnsi="黑体" w:eastAsia="黑体" w:cs="黑体"/>
          <w:color w:val="000000" w:themeColor="text1"/>
          <w:sz w:val="32"/>
          <w:szCs w:val="32"/>
          <w:lang w:val="en" w:eastAsia="zh-CN"/>
          <w14:textFill>
            <w14:solidFill>
              <w14:schemeClr w14:val="tx1"/>
            </w14:solidFill>
          </w14:textFill>
        </w:rPr>
        <w:t>三、</w:t>
      </w:r>
      <w:r>
        <w:rPr>
          <w:rFonts w:hint="eastAsia" w:ascii="黑体" w:hAnsi="黑体" w:eastAsia="黑体" w:cs="黑体"/>
          <w:color w:val="000000" w:themeColor="text1"/>
          <w:sz w:val="32"/>
          <w:szCs w:val="32"/>
          <w:lang w:val="en"/>
          <w14:textFill>
            <w14:solidFill>
              <w14:schemeClr w14:val="tx1"/>
            </w14:solidFill>
          </w14:textFill>
        </w:rPr>
        <w:t>白名单库</w:t>
      </w:r>
      <w:r>
        <w:rPr>
          <w:rFonts w:hint="eastAsia" w:ascii="黑体" w:hAnsi="黑体" w:eastAsia="黑体" w:cs="黑体"/>
          <w:color w:val="000000" w:themeColor="text1"/>
          <w:sz w:val="32"/>
          <w:szCs w:val="32"/>
          <w:lang w:val="en" w:eastAsia="zh-CN"/>
          <w14:textFill>
            <w14:solidFill>
              <w14:schemeClr w14:val="tx1"/>
            </w14:solidFill>
          </w14:textFill>
        </w:rPr>
        <w:t>实行</w:t>
      </w:r>
      <w:r>
        <w:rPr>
          <w:rFonts w:hint="eastAsia" w:ascii="黑体" w:hAnsi="黑体" w:eastAsia="黑体" w:cs="黑体"/>
          <w:color w:val="000000" w:themeColor="text1"/>
          <w:sz w:val="32"/>
          <w:szCs w:val="32"/>
          <w:lang w:val="en"/>
          <w14:textFill>
            <w14:solidFill>
              <w14:schemeClr w14:val="tx1"/>
            </w14:solidFill>
          </w14:textFill>
        </w:rPr>
        <w:t>动态管理</w:t>
      </w:r>
    </w:p>
    <w:p>
      <w:pPr>
        <w:pStyle w:val="2"/>
        <w:keepLines w:val="0"/>
        <w:pageBreakBefore w:val="0"/>
        <w:numPr>
          <w:ilvl w:val="0"/>
          <w:numId w:val="0"/>
        </w:numPr>
        <w:kinsoku/>
        <w:wordWrap/>
        <w:overflowPunct/>
        <w:topLinePunct w:val="0"/>
        <w:autoSpaceDE/>
        <w:autoSpaceDN/>
        <w:bidi w:val="0"/>
        <w:spacing w:line="560" w:lineRule="exact"/>
        <w:ind w:firstLine="640" w:firstLineChars="200"/>
        <w:textAlignment w:val="auto"/>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丽水市自然资源局为入库的企事业单位建立信息档案。对白名单库实行动态管理，根据</w:t>
      </w:r>
      <w:r>
        <w:rPr>
          <w:rFonts w:hint="eastAsia" w:ascii="仿宋_GB2312" w:hAnsi="仿宋_GB2312" w:eastAsia="仿宋_GB2312" w:cs="仿宋_GB2312"/>
          <w:color w:val="000000" w:themeColor="text1"/>
          <w:sz w:val="32"/>
          <w:szCs w:val="32"/>
          <w14:textFill>
            <w14:solidFill>
              <w14:schemeClr w14:val="tx1"/>
            </w14:solidFill>
          </w14:textFill>
        </w:rPr>
        <w:t>入库的企事业单位在我市砂石行业开展中介服务的专业水准和相关工作业绩，</w:t>
      </w:r>
      <w:r>
        <w:rPr>
          <w:rFonts w:hint="eastAsia" w:ascii="仿宋_GB2312" w:hAnsi="仿宋_GB2312" w:eastAsia="仿宋_GB2312" w:cs="仿宋_GB2312"/>
          <w:color w:val="000000" w:themeColor="text1"/>
          <w:sz w:val="32"/>
          <w:szCs w:val="32"/>
          <w:lang w:eastAsia="zh-CN"/>
          <w14:textFill>
            <w14:solidFill>
              <w14:schemeClr w14:val="tx1"/>
            </w14:solidFill>
          </w14:textFill>
        </w:rPr>
        <w:t>今后</w:t>
      </w:r>
      <w:r>
        <w:rPr>
          <w:rFonts w:hint="eastAsia" w:ascii="仿宋_GB2312" w:hAnsi="仿宋_GB2312" w:eastAsia="仿宋_GB2312" w:cs="仿宋_GB2312"/>
          <w:color w:val="000000" w:themeColor="text1"/>
          <w:sz w:val="32"/>
          <w:szCs w:val="32"/>
          <w14:textFill>
            <w14:solidFill>
              <w14:schemeClr w14:val="tx1"/>
            </w14:solidFill>
          </w14:textFill>
        </w:rPr>
        <w:t>每年组织专家对相关企事业单位进行集体评审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形成优秀、良好、合格三个等级，</w:t>
      </w:r>
      <w:r>
        <w:rPr>
          <w:rFonts w:hint="eastAsia" w:ascii="仿宋_GB2312" w:hAnsi="仿宋_GB2312" w:eastAsia="仿宋_GB2312" w:cs="仿宋_GB2312"/>
          <w:color w:val="000000" w:themeColor="text1"/>
          <w:sz w:val="32"/>
          <w:szCs w:val="32"/>
          <w:lang w:eastAsia="zh-CN"/>
          <w14:textFill>
            <w14:solidFill>
              <w14:schemeClr w14:val="tx1"/>
            </w14:solidFill>
          </w14:textFill>
        </w:rPr>
        <w:t>并</w:t>
      </w:r>
      <w:r>
        <w:rPr>
          <w:rFonts w:hint="eastAsia" w:ascii="仿宋_GB2312" w:hAnsi="仿宋_GB2312" w:eastAsia="仿宋_GB2312" w:cs="仿宋_GB2312"/>
          <w:color w:val="000000" w:themeColor="text1"/>
          <w:sz w:val="32"/>
          <w:szCs w:val="32"/>
          <w14:textFill>
            <w14:solidFill>
              <w14:schemeClr w14:val="tx1"/>
            </w14:solidFill>
          </w14:textFill>
        </w:rPr>
        <w:t>对相关信息进行一次调整。对在我市从事砂石行业中介服务过程中</w:t>
      </w:r>
      <w:r>
        <w:rPr>
          <w:rFonts w:hint="eastAsia" w:ascii="仿宋" w:hAnsi="仿宋" w:eastAsia="仿宋" w:cs="仿宋"/>
          <w:color w:val="000000" w:themeColor="text1"/>
          <w:kern w:val="0"/>
          <w:sz w:val="32"/>
          <w:szCs w:val="32"/>
          <w14:textFill>
            <w14:solidFill>
              <w14:schemeClr w14:val="tx1"/>
            </w14:solidFill>
          </w14:textFill>
        </w:rPr>
        <w:t>弄虚作假、</w:t>
      </w:r>
      <w:r>
        <w:rPr>
          <w:rFonts w:hint="eastAsia" w:ascii="仿宋_GB2312" w:hAnsi="仿宋_GB2312" w:eastAsia="仿宋_GB2312" w:cs="仿宋_GB2312"/>
          <w:color w:val="000000" w:themeColor="text1"/>
          <w:sz w:val="32"/>
          <w:szCs w:val="32"/>
          <w14:textFill>
            <w14:solidFill>
              <w14:schemeClr w14:val="tx1"/>
            </w14:solidFill>
          </w14:textFill>
        </w:rPr>
        <w:t>违反相关法律法规的企事业单位，报经领导小组审定后</w:t>
      </w:r>
      <w:r>
        <w:rPr>
          <w:rFonts w:hint="eastAsia" w:ascii="仿宋" w:hAnsi="仿宋" w:eastAsia="仿宋" w:cs="仿宋"/>
          <w:color w:val="000000" w:themeColor="text1"/>
          <w:kern w:val="0"/>
          <w:sz w:val="32"/>
          <w:szCs w:val="32"/>
          <w14:textFill>
            <w14:solidFill>
              <w14:schemeClr w14:val="tx1"/>
            </w14:solidFill>
          </w14:textFill>
        </w:rPr>
        <w:t>立即移出白名单库，并依法列入信用黑名单，</w:t>
      </w:r>
      <w:r>
        <w:rPr>
          <w:rFonts w:hint="eastAsia" w:ascii="仿宋_GB2312" w:hAnsi="仿宋_GB2312" w:eastAsia="仿宋_GB2312" w:cs="仿宋_GB2312"/>
          <w:color w:val="000000" w:themeColor="text1"/>
          <w:sz w:val="32"/>
          <w:szCs w:val="32"/>
          <w14:textFill>
            <w14:solidFill>
              <w14:schemeClr w14:val="tx1"/>
            </w14:solidFill>
          </w14:textFill>
        </w:rPr>
        <w:t>及时更新白名单库信息；</w:t>
      </w:r>
      <w:r>
        <w:rPr>
          <w:rFonts w:hint="eastAsia" w:ascii="仿宋_GB2312" w:hAnsi="仿宋_GB2312" w:eastAsia="仿宋_GB2312" w:cs="仿宋_GB2312"/>
          <w:color w:val="000000" w:themeColor="text1"/>
          <w:sz w:val="32"/>
          <w:szCs w:val="32"/>
          <w:lang w:eastAsia="zh-CN"/>
          <w14:textFill>
            <w14:solidFill>
              <w14:schemeClr w14:val="tx1"/>
            </w14:solidFill>
          </w14:textFill>
        </w:rPr>
        <w:t>同时，根据我市砂石行业认定实际情况，可按照规定程序，每年适当增补一批符合条件的中介机构进入白名单库</w:t>
      </w:r>
      <w:r>
        <w:rPr>
          <w:rFonts w:hint="eastAsia" w:ascii="仿宋_GB2312" w:hAnsi="仿宋_GB2312" w:eastAsia="仿宋_GB2312" w:cs="仿宋_GB2312"/>
          <w:color w:val="000000" w:themeColor="text1"/>
          <w:sz w:val="32"/>
          <w:szCs w:val="32"/>
          <w14:textFill>
            <w14:solidFill>
              <w14:schemeClr w14:val="tx1"/>
            </w14:solidFill>
          </w14:textFill>
        </w:rPr>
        <w:t>。</w:t>
      </w:r>
    </w:p>
    <w:sectPr>
      <w:footerReference r:id="rId3" w:type="default"/>
      <w:pgSz w:w="11906" w:h="16838"/>
      <w:pgMar w:top="1440" w:right="1797" w:bottom="1440" w:left="179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SI楷体-GB2312">
    <w:altName w:val="楷体_GB2312"/>
    <w:panose1 w:val="02000500000000000000"/>
    <w:charset w:val="86"/>
    <w:family w:val="auto"/>
    <w:pitch w:val="default"/>
    <w:sig w:usb0="00000000" w:usb1="00000000" w:usb2="00000012" w:usb3="00000000" w:csb0="0004000F" w:csb1="00000000"/>
  </w:font>
  <w:font w:name="楷体">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hint="default" w:ascii="Times New Roman" w:hAnsi="Times New Roman" w:cs="Times New Roman"/>
                              <w:sz w:val="21"/>
                              <w:szCs w:val="21"/>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pStyle w:val="4"/>
                      <w:rPr>
                        <w:rFonts w:hint="default" w:ascii="Times New Roman" w:hAnsi="Times New Roman" w:cs="Times New Roman"/>
                        <w:sz w:val="21"/>
                        <w:szCs w:val="21"/>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2218A5"/>
    <w:rsid w:val="00516A22"/>
    <w:rsid w:val="027E76C0"/>
    <w:rsid w:val="06BE2936"/>
    <w:rsid w:val="092218A5"/>
    <w:rsid w:val="09832EA3"/>
    <w:rsid w:val="0F962816"/>
    <w:rsid w:val="0FD87457"/>
    <w:rsid w:val="121D6434"/>
    <w:rsid w:val="1CA71909"/>
    <w:rsid w:val="1CD20041"/>
    <w:rsid w:val="1EEA487B"/>
    <w:rsid w:val="1F98798A"/>
    <w:rsid w:val="2290109A"/>
    <w:rsid w:val="258161FE"/>
    <w:rsid w:val="25964977"/>
    <w:rsid w:val="28124C8E"/>
    <w:rsid w:val="2B002BFF"/>
    <w:rsid w:val="2F095697"/>
    <w:rsid w:val="2FD14380"/>
    <w:rsid w:val="2FE04AFF"/>
    <w:rsid w:val="33C3335A"/>
    <w:rsid w:val="359440BE"/>
    <w:rsid w:val="368A467F"/>
    <w:rsid w:val="388306DB"/>
    <w:rsid w:val="39970679"/>
    <w:rsid w:val="3DD766CA"/>
    <w:rsid w:val="3FDBBBF3"/>
    <w:rsid w:val="40E47417"/>
    <w:rsid w:val="45D9094F"/>
    <w:rsid w:val="48E04012"/>
    <w:rsid w:val="4B7776FD"/>
    <w:rsid w:val="4D963875"/>
    <w:rsid w:val="4DCB4B1E"/>
    <w:rsid w:val="59CB5612"/>
    <w:rsid w:val="5FFF7E05"/>
    <w:rsid w:val="620B4A87"/>
    <w:rsid w:val="6999542D"/>
    <w:rsid w:val="6A70619F"/>
    <w:rsid w:val="6ABB050E"/>
    <w:rsid w:val="730524B0"/>
    <w:rsid w:val="7578A5F0"/>
    <w:rsid w:val="7BC93387"/>
    <w:rsid w:val="BDFC8CDB"/>
    <w:rsid w:val="DEF7E0C9"/>
    <w:rsid w:val="EDF212A5"/>
    <w:rsid w:val="F1950D5D"/>
    <w:rsid w:val="FDDDC564"/>
    <w:rsid w:val="FFC75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7"/>
    <w:unhideWhenUsed/>
    <w:qFormat/>
    <w:uiPriority w:val="0"/>
    <w:pPr>
      <w:keepNext/>
      <w:keepLines w:val="0"/>
      <w:widowControl/>
      <w:spacing w:beforeAutospacing="0" w:afterAutospacing="0" w:line="600" w:lineRule="exact"/>
      <w:ind w:firstLine="640" w:firstLineChars="200"/>
      <w:jc w:val="left"/>
      <w:outlineLvl w:val="1"/>
    </w:pPr>
    <w:rPr>
      <w:rFonts w:eastAsia="CESI楷体-GB2312" w:cs="楷体"/>
      <w:b/>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4">
    <w:name w:val="footer"/>
    <w:basedOn w:val="1"/>
    <w:semiHidden/>
    <w:unhideWhenUsed/>
    <w:qFormat/>
    <w:uiPriority w:val="99"/>
    <w:pPr>
      <w:tabs>
        <w:tab w:val="center" w:pos="4153"/>
        <w:tab w:val="right" w:pos="8306"/>
      </w:tabs>
      <w:snapToGrid w:val="0"/>
      <w:jc w:val="left"/>
    </w:pPr>
    <w:rPr>
      <w:sz w:val="18"/>
      <w:szCs w:val="18"/>
    </w:rPr>
  </w:style>
  <w:style w:type="character" w:customStyle="1" w:styleId="7">
    <w:name w:val="标题 2 Char"/>
    <w:link w:val="3"/>
    <w:qFormat/>
    <w:uiPriority w:val="0"/>
    <w:rPr>
      <w:rFonts w:eastAsia="CESI楷体-GB2312" w:cs="楷体"/>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2024-07-19T08:55:00Z</dcterms:created>
  <dc:creator>Administrator</dc:creator>
  <cp:lastModifiedBy>915ldl</cp:lastModifiedBy>
  <cp:lastPrinted>2024-11-14T10:29:00Z</cp:lastPrinted>
  <dcterms:modified xsi:type="dcterms:W3CDTF">2024-11-14T06:25:06Z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