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extAlignment w:val="baseline"/>
      </w:pPr>
      <w:bookmarkStart w:id="0" w:name="_Toc439751885"/>
      <w:bookmarkStart w:id="1" w:name="_Toc9033"/>
      <w:bookmarkStart w:id="50" w:name="_GoBack"/>
      <w:bookmarkEnd w:id="50"/>
    </w:p>
    <w:p>
      <w:pPr>
        <w:pStyle w:val="3"/>
        <w:textAlignment w:val="baseline"/>
        <w:rPr>
          <w:rFonts w:ascii="Times New Roman" w:hAnsi="Times New Roman" w:cs="Times New Roman"/>
          <w:color w:val="000000" w:themeColor="text1"/>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jc w:val="center"/>
        <w:textAlignment w:val="baseline"/>
        <w:rPr>
          <w:rFonts w:eastAsia="方正小标宋简体"/>
          <w:color w:val="000000" w:themeColor="text1"/>
          <w:sz w:val="44"/>
          <w:szCs w:val="44"/>
          <w14:textFill>
            <w14:solidFill>
              <w14:schemeClr w14:val="tx1"/>
            </w14:solidFill>
          </w14:textFill>
        </w:rPr>
      </w:pPr>
      <w:r>
        <w:rPr>
          <w:rFonts w:eastAsia="方正小标宋简体"/>
          <w:color w:val="000000" w:themeColor="text1"/>
          <w:sz w:val="44"/>
          <w:szCs w:val="44"/>
          <w14:textFill>
            <w14:solidFill>
              <w14:schemeClr w14:val="tx1"/>
            </w14:solidFill>
          </w14:textFill>
        </w:rPr>
        <w:t>丽水市质量发展与标准化“十四五”规划</w:t>
      </w: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textAlignment w:val="baseline"/>
        <w:rPr>
          <w:rFonts w:eastAsia="仿宋"/>
          <w:color w:val="000000" w:themeColor="text1"/>
          <w:sz w:val="28"/>
          <w:szCs w:val="28"/>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600" w:lineRule="exact"/>
        <w:jc w:val="center"/>
        <w:textAlignment w:val="baseline"/>
        <w:rPr>
          <w:rFonts w:eastAsia="楷体"/>
          <w:b/>
          <w:bCs/>
          <w:color w:val="000000" w:themeColor="text1"/>
          <w:sz w:val="32"/>
          <w:szCs w:val="32"/>
          <w14:textFill>
            <w14:solidFill>
              <w14:schemeClr w14:val="tx1"/>
            </w14:solidFill>
          </w14:textFill>
        </w:rPr>
      </w:pPr>
    </w:p>
    <w:p>
      <w:pPr>
        <w:spacing w:line="580" w:lineRule="exact"/>
        <w:jc w:val="center"/>
        <w:textAlignment w:val="baseline"/>
        <w:rPr>
          <w:rFonts w:eastAsia="楷体"/>
          <w:color w:val="000000" w:themeColor="text1"/>
          <w:sz w:val="32"/>
          <w:szCs w:val="32"/>
          <w14:textFill>
            <w14:solidFill>
              <w14:schemeClr w14:val="tx1"/>
            </w14:solidFill>
          </w14:textFill>
        </w:rPr>
      </w:pPr>
      <w:r>
        <w:rPr>
          <w:rFonts w:eastAsia="楷体"/>
          <w:color w:val="000000" w:themeColor="text1"/>
          <w:sz w:val="32"/>
          <w:szCs w:val="32"/>
          <w14:textFill>
            <w14:solidFill>
              <w14:schemeClr w14:val="tx1"/>
            </w14:solidFill>
          </w14:textFill>
        </w:rPr>
        <w:t>丽水市市场监督管理局</w:t>
      </w:r>
    </w:p>
    <w:p>
      <w:pPr>
        <w:spacing w:line="580" w:lineRule="exact"/>
        <w:jc w:val="center"/>
        <w:textAlignment w:val="baseline"/>
        <w:rPr>
          <w:rFonts w:eastAsia="楷体"/>
          <w:color w:val="000000" w:themeColor="text1"/>
          <w:sz w:val="32"/>
          <w:szCs w:val="32"/>
          <w14:textFill>
            <w14:solidFill>
              <w14:schemeClr w14:val="tx1"/>
            </w14:solidFill>
          </w14:textFill>
        </w:rPr>
      </w:pPr>
      <w:r>
        <w:rPr>
          <w:rFonts w:eastAsia="楷体"/>
          <w:color w:val="000000" w:themeColor="text1"/>
          <w:sz w:val="32"/>
          <w:szCs w:val="32"/>
          <w14:textFill>
            <w14:solidFill>
              <w14:schemeClr w14:val="tx1"/>
            </w14:solidFill>
          </w14:textFill>
        </w:rPr>
        <w:t>2021年1</w:t>
      </w:r>
      <w:r>
        <w:rPr>
          <w:rFonts w:hint="eastAsia" w:eastAsia="楷体"/>
          <w:color w:val="000000" w:themeColor="text1"/>
          <w:sz w:val="32"/>
          <w:szCs w:val="32"/>
          <w:lang w:val="en-US" w:eastAsia="zh-CN"/>
          <w14:textFill>
            <w14:solidFill>
              <w14:schemeClr w14:val="tx1"/>
            </w14:solidFill>
          </w14:textFill>
        </w:rPr>
        <w:t>2</w:t>
      </w:r>
      <w:r>
        <w:rPr>
          <w:rFonts w:eastAsia="楷体"/>
          <w:color w:val="000000" w:themeColor="text1"/>
          <w:sz w:val="32"/>
          <w:szCs w:val="32"/>
          <w14:textFill>
            <w14:solidFill>
              <w14:schemeClr w14:val="tx1"/>
            </w14:solidFill>
          </w14:textFill>
        </w:rPr>
        <w:t>月</w:t>
      </w:r>
    </w:p>
    <w:p>
      <w:pPr>
        <w:pStyle w:val="4"/>
        <w:spacing w:line="600" w:lineRule="exact"/>
        <w:textAlignment w:val="baseline"/>
        <w:rPr>
          <w:color w:val="000000" w:themeColor="text1"/>
          <w14:textFill>
            <w14:solidFill>
              <w14:schemeClr w14:val="tx1"/>
            </w14:solidFill>
          </w14:textFill>
        </w:rPr>
      </w:pPr>
    </w:p>
    <w:p>
      <w:pPr>
        <w:shd w:val="clear" w:color="auto" w:fill="FFFFFF" w:themeFill="background1"/>
        <w:spacing w:line="600" w:lineRule="exact"/>
        <w:jc w:val="center"/>
        <w:textAlignment w:val="baseline"/>
        <w:rPr>
          <w:rFonts w:eastAsia="黑体"/>
          <w:color w:val="000000" w:themeColor="text1"/>
          <w:sz w:val="36"/>
          <w:szCs w:val="36"/>
          <w14:textFill>
            <w14:solidFill>
              <w14:schemeClr w14:val="tx1"/>
            </w14:solidFill>
          </w14:textFill>
        </w:rPr>
      </w:pPr>
    </w:p>
    <w:p>
      <w:pPr>
        <w:shd w:val="clear" w:color="auto" w:fill="FFFFFF" w:themeFill="background1"/>
        <w:spacing w:line="600" w:lineRule="exact"/>
        <w:jc w:val="center"/>
        <w:textAlignment w:val="baseline"/>
        <w:rPr>
          <w:rFonts w:eastAsia="黑体"/>
          <w:color w:val="000000" w:themeColor="text1"/>
          <w:sz w:val="36"/>
          <w:szCs w:val="36"/>
          <w14:textFill>
            <w14:solidFill>
              <w14:schemeClr w14:val="tx1"/>
            </w14:solidFill>
          </w14:textFill>
        </w:rPr>
      </w:pPr>
    </w:p>
    <w:p>
      <w:pPr>
        <w:shd w:val="clear" w:color="auto" w:fill="FFFFFF" w:themeFill="background1"/>
        <w:spacing w:before="300" w:after="300" w:line="580" w:lineRule="exact"/>
        <w:jc w:val="center"/>
        <w:textAlignment w:val="baseline"/>
        <w:rPr>
          <w:rFonts w:eastAsia="黑体"/>
          <w:color w:val="000000" w:themeColor="text1"/>
          <w:sz w:val="36"/>
          <w:szCs w:val="36"/>
          <w14:textFill>
            <w14:solidFill>
              <w14:schemeClr w14:val="tx1"/>
            </w14:solidFill>
          </w14:textFill>
        </w:rPr>
        <w:sectPr>
          <w:pgSz w:w="11906" w:h="16838"/>
          <w:pgMar w:top="1440" w:right="1797" w:bottom="1440" w:left="1797" w:header="851" w:footer="992" w:gutter="0"/>
          <w:pgNumType w:start="1"/>
          <w:cols w:space="720" w:num="1"/>
          <w:docGrid w:type="lines" w:linePitch="600" w:charSpace="0"/>
        </w:sectPr>
      </w:pPr>
    </w:p>
    <w:p>
      <w:pPr>
        <w:shd w:val="clear" w:color="auto" w:fill="FFFFFF" w:themeFill="background1"/>
        <w:spacing w:before="300" w:after="300" w:line="580" w:lineRule="exact"/>
        <w:jc w:val="center"/>
        <w:textAlignment w:val="baseline"/>
        <w:rPr>
          <w:sz w:val="20"/>
        </w:rPr>
      </w:pPr>
      <w:r>
        <w:rPr>
          <w:rFonts w:eastAsia="黑体"/>
          <w:color w:val="000000" w:themeColor="text1"/>
          <w:sz w:val="36"/>
          <w:szCs w:val="36"/>
          <w14:textFill>
            <w14:solidFill>
              <w14:schemeClr w14:val="tx1"/>
            </w14:solidFill>
          </w14:textFill>
        </w:rPr>
        <w:t>目  录</w:t>
      </w:r>
      <w:r>
        <w:fldChar w:fldCharType="begin"/>
      </w:r>
      <w:r>
        <w:instrText xml:space="preserve"> TOC \o "1-3" \h \z \u </w:instrText>
      </w:r>
      <w:r>
        <w:fldChar w:fldCharType="separate"/>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"_Toc79779422" </w:instrText>
      </w:r>
      <w:r>
        <w:fldChar w:fldCharType="separate"/>
      </w:r>
      <w:r>
        <w:rPr>
          <w:rStyle w:val="24"/>
          <w:rFonts w:hint="eastAsia" w:ascii="微软雅黑" w:hAnsi="微软雅黑" w:eastAsia="微软雅黑" w:cs="微软雅黑"/>
          <w:b w:val="0"/>
          <w:bCs w:val="0"/>
          <w:u w:color="0000FF"/>
        </w:rPr>
        <w:t>前</w:t>
      </w:r>
      <w:r>
        <w:rPr>
          <w:rStyle w:val="24"/>
          <w:b w:val="0"/>
          <w:bCs w:val="0"/>
          <w:u w:color="0000FF"/>
        </w:rPr>
        <w:t xml:space="preserve">    </w:t>
      </w:r>
      <w:r>
        <w:rPr>
          <w:rStyle w:val="24"/>
          <w:rFonts w:hint="eastAsia" w:ascii="微软雅黑" w:hAnsi="微软雅黑" w:eastAsia="微软雅黑" w:cs="微软雅黑"/>
          <w:b w:val="0"/>
          <w:bCs w:val="0"/>
          <w:u w:color="0000FF"/>
        </w:rPr>
        <w:t>言</w:t>
      </w:r>
      <w:r>
        <w:rPr>
          <w:b w:val="0"/>
          <w:bCs w:val="0"/>
        </w:rPr>
        <w:tab/>
      </w:r>
      <w:r>
        <w:fldChar w:fldCharType="begin"/>
      </w:r>
      <w:r>
        <w:instrText xml:space="preserve"> PAGEREF _Toc79779422 \h </w:instrText>
      </w:r>
      <w:r>
        <w:fldChar w:fldCharType="separate"/>
      </w:r>
      <w:r>
        <w:rPr>
          <w:b w:val="0"/>
          <w:bCs w:val="0"/>
        </w:rPr>
        <w:t>1</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"_Toc79779423" </w:instrText>
      </w:r>
      <w:r>
        <w:fldChar w:fldCharType="separate"/>
      </w:r>
      <w:r>
        <w:rPr>
          <w:rStyle w:val="24"/>
          <w:rFonts w:hint="eastAsia" w:ascii="微软雅黑" w:hAnsi="微软雅黑" w:eastAsia="微软雅黑" w:cs="微软雅黑"/>
          <w:b w:val="0"/>
          <w:bCs w:val="0"/>
          <w:u w:color="0000FF"/>
        </w:rPr>
        <w:t>一、现实基础和发展背景</w:t>
      </w:r>
      <w:r>
        <w:rPr>
          <w:b w:val="0"/>
          <w:bCs w:val="0"/>
        </w:rPr>
        <w:tab/>
      </w:r>
      <w:r>
        <w:fldChar w:fldCharType="begin"/>
      </w:r>
      <w:r>
        <w:instrText xml:space="preserve"> PAGEREF _Toc79779423 \h </w:instrText>
      </w:r>
      <w:r>
        <w:fldChar w:fldCharType="separate"/>
      </w:r>
      <w:r>
        <w:rPr>
          <w:b w:val="0"/>
          <w:bCs w:val="0"/>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"_Toc79779424" </w:instrText>
      </w:r>
      <w:r>
        <w:fldChar w:fldCharType="separate"/>
      </w:r>
      <w:r>
        <w:rPr>
          <w:rStyle w:val="24"/>
          <w:rFonts w:eastAsia="楷体_GB2312"/>
          <w:bCs/>
          <w:u w:color="0000FF"/>
        </w:rPr>
        <w:t>（一）现实基础</w:t>
      </w:r>
      <w:r>
        <w:tab/>
      </w:r>
      <w:r>
        <w:fldChar w:fldCharType="begin"/>
      </w:r>
      <w:r>
        <w:instrText xml:space="preserve"> PAGEREF _Toc79779424 \h </w:instrText>
      </w:r>
      <w:r>
        <w:fldChar w:fldCharType="separate"/>
      </w:r>
      <w: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"_Toc79779425" </w:instrText>
      </w:r>
      <w:r>
        <w:fldChar w:fldCharType="separate"/>
      </w:r>
      <w:r>
        <w:rPr>
          <w:rStyle w:val="24"/>
          <w:rFonts w:eastAsia="楷体_GB2312"/>
          <w:bCs/>
          <w:u w:color="0000FF"/>
        </w:rPr>
        <w:t>（二）发展背景</w:t>
      </w:r>
      <w:r>
        <w:tab/>
      </w:r>
      <w:r>
        <w:fldChar w:fldCharType="begin"/>
      </w:r>
      <w:r>
        <w:instrText xml:space="preserve"> PAGEREF _Toc79779425 \h </w:instrText>
      </w:r>
      <w:r>
        <w:fldChar w:fldCharType="separate"/>
      </w:r>
      <w:r>
        <w:t>8</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"_Toc79779426" </w:instrText>
      </w:r>
      <w:r>
        <w:fldChar w:fldCharType="separate"/>
      </w:r>
      <w:r>
        <w:rPr>
          <w:rStyle w:val="24"/>
          <w:rFonts w:hint="eastAsia" w:ascii="微软雅黑" w:hAnsi="微软雅黑" w:eastAsia="微软雅黑" w:cs="微软雅黑"/>
          <w:b w:val="0"/>
          <w:bCs w:val="0"/>
          <w:u w:color="0000FF"/>
        </w:rPr>
        <w:t>二、总体思路和发展目标</w:t>
      </w:r>
      <w:r>
        <w:rPr>
          <w:b w:val="0"/>
          <w:bCs w:val="0"/>
        </w:rPr>
        <w:tab/>
      </w:r>
      <w:r>
        <w:fldChar w:fldCharType="begin"/>
      </w:r>
      <w:r>
        <w:instrText xml:space="preserve"> PAGEREF _Toc79779426 \h </w:instrText>
      </w:r>
      <w:r>
        <w:fldChar w:fldCharType="separate"/>
      </w:r>
      <w:r>
        <w:rPr>
          <w:b w:val="0"/>
          <w:bCs w:val="0"/>
        </w:rPr>
        <w:t>9</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"_Toc79779427" </w:instrText>
      </w:r>
      <w:r>
        <w:fldChar w:fldCharType="separate"/>
      </w:r>
      <w:r>
        <w:rPr>
          <w:rStyle w:val="24"/>
          <w:rFonts w:eastAsia="楷体_GB2312"/>
          <w:bCs/>
          <w:u w:color="0000FF"/>
        </w:rPr>
        <w:t>（一）指导思想</w:t>
      </w:r>
      <w:r>
        <w:tab/>
      </w:r>
      <w:r>
        <w:fldChar w:fldCharType="begin"/>
      </w:r>
      <w:r>
        <w:instrText xml:space="preserve"> PAGEREF _Toc79779427 \h </w:instrText>
      </w:r>
      <w:r>
        <w:fldChar w:fldCharType="separate"/>
      </w:r>
      <w:r>
        <w:t>9</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"_Toc79779428" </w:instrText>
      </w:r>
      <w:r>
        <w:fldChar w:fldCharType="separate"/>
      </w:r>
      <w:r>
        <w:rPr>
          <w:rStyle w:val="24"/>
          <w:rFonts w:ascii="Times New Roman" w:eastAsia="楷体_GB2312"/>
          <w:u w:color="0000FF"/>
        </w:rPr>
        <w:t>（二）基本原则</w:t>
      </w:r>
      <w:r>
        <w:tab/>
      </w:r>
      <w:r>
        <w:fldChar w:fldCharType="begin"/>
      </w:r>
      <w:r>
        <w:instrText xml:space="preserve"> PAGEREF _Toc79779428 \h </w:instrText>
      </w:r>
      <w:r>
        <w:fldChar w:fldCharType="separate"/>
      </w:r>
      <w:r>
        <w:t>10</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"_Toc79779429" </w:instrText>
      </w:r>
      <w:r>
        <w:fldChar w:fldCharType="separate"/>
      </w:r>
      <w:r>
        <w:rPr>
          <w:rStyle w:val="24"/>
          <w:rFonts w:ascii="Times New Roman" w:eastAsia="楷体_GB2312"/>
          <w:u w:color="0000FF"/>
        </w:rPr>
        <w:t>（三）发展目标</w:t>
      </w:r>
      <w:r>
        <w:tab/>
      </w:r>
      <w:r>
        <w:fldChar w:fldCharType="begin"/>
      </w:r>
      <w:r>
        <w:instrText xml:space="preserve"> PAGEREF _Toc79779429 \h </w:instrText>
      </w:r>
      <w:r>
        <w:fldChar w:fldCharType="separate"/>
      </w:r>
      <w:r>
        <w:t>1</w:t>
      </w:r>
      <w:r>
        <w:rPr>
          <w:rFonts w:eastAsia="宋体"/>
        </w:rPr>
        <w:t>1</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"_Toc79779430" </w:instrText>
      </w:r>
      <w:r>
        <w:fldChar w:fldCharType="separate"/>
      </w:r>
      <w:r>
        <w:rPr>
          <w:rStyle w:val="24"/>
          <w:rFonts w:hint="eastAsia" w:ascii="微软雅黑" w:hAnsi="微软雅黑" w:eastAsia="微软雅黑" w:cs="微软雅黑"/>
          <w:b w:val="0"/>
          <w:bCs w:val="0"/>
          <w:u w:color="0000FF"/>
        </w:rPr>
        <w:t>三、推进</w:t>
      </w:r>
      <w:r>
        <w:rPr>
          <w:rStyle w:val="24"/>
          <w:b w:val="0"/>
          <w:bCs w:val="0"/>
          <w:u w:color="0000FF"/>
        </w:rPr>
        <w:t>“</w:t>
      </w:r>
      <w:r>
        <w:rPr>
          <w:rStyle w:val="24"/>
          <w:rFonts w:hint="eastAsia" w:ascii="微软雅黑" w:hAnsi="微软雅黑" w:eastAsia="微软雅黑" w:cs="微软雅黑"/>
          <w:b w:val="0"/>
          <w:bCs w:val="0"/>
          <w:u w:color="0000FF"/>
        </w:rPr>
        <w:t>丽水智造</w:t>
      </w:r>
      <w:r>
        <w:rPr>
          <w:rStyle w:val="24"/>
          <w:b w:val="0"/>
          <w:bCs w:val="0"/>
          <w:u w:color="0000FF"/>
        </w:rPr>
        <w:t>”</w:t>
      </w:r>
      <w:r>
        <w:rPr>
          <w:rStyle w:val="24"/>
          <w:rFonts w:hint="eastAsia" w:ascii="微软雅黑" w:hAnsi="微软雅黑" w:eastAsia="微软雅黑" w:cs="微软雅黑"/>
          <w:b w:val="0"/>
          <w:bCs w:val="0"/>
          <w:u w:color="0000FF"/>
        </w:rPr>
        <w:t>高质量提升</w:t>
      </w:r>
      <w:r>
        <w:rPr>
          <w:b w:val="0"/>
          <w:bCs w:val="0"/>
        </w:rPr>
        <w:tab/>
      </w:r>
      <w:r>
        <w:fldChar w:fldCharType="begin"/>
      </w:r>
      <w:r>
        <w:instrText xml:space="preserve"> PAGEREF _Toc79779430 \h </w:instrText>
      </w:r>
      <w:r>
        <w:fldChar w:fldCharType="separate"/>
      </w:r>
      <w:r>
        <w:rPr>
          <w:b w:val="0"/>
          <w:bCs w:val="0"/>
        </w:rPr>
        <w:t>1</w:t>
      </w:r>
      <w:r>
        <w:rPr>
          <w:rFonts w:eastAsia="宋体"/>
          <w:b w:val="0"/>
          <w:bCs w:val="0"/>
        </w:rPr>
        <w:t>4</w:t>
      </w:r>
      <w:r>
        <w:fldChar w:fldCharType="end"/>
      </w:r>
      <w:r>
        <w:fldChar w:fldCharType="end"/>
      </w:r>
    </w:p>
    <w:p>
      <w:pPr>
        <w:pStyle w:val="15"/>
        <w:tabs>
          <w:tab w:val="right" w:leader="dot" w:pos="8302"/>
        </w:tabs>
        <w:spacing w:line="660" w:lineRule="exact"/>
        <w:ind w:left="0" w:firstLine="640" w:firstLineChars="200"/>
        <w:textAlignment w:val="baseline"/>
        <w:rPr>
          <w:rFonts w:eastAsia="宋体"/>
          <w:sz w:val="21"/>
          <w:szCs w:val="24"/>
        </w:rPr>
      </w:pPr>
      <w:r>
        <w:fldChar w:fldCharType="begin"/>
      </w:r>
      <w:r>
        <w:instrText xml:space="preserve"> HYPERLINK \l "_Toc79779431" </w:instrText>
      </w:r>
      <w:r>
        <w:fldChar w:fldCharType="separate"/>
      </w:r>
      <w:r>
        <w:rPr>
          <w:rStyle w:val="24"/>
          <w:rFonts w:ascii="Times New Roman" w:eastAsia="楷体_GB2312"/>
          <w:u w:color="0000FF"/>
        </w:rPr>
        <w:t>（一）树立“丽水智造”质量标杆</w:t>
      </w:r>
      <w:r>
        <w:tab/>
      </w:r>
      <w:r>
        <w:rPr>
          <w:rFonts w:hint="eastAsia" w:eastAsia="宋体"/>
        </w:rPr>
        <w:t>1</w:t>
      </w:r>
      <w:r>
        <w:rPr>
          <w:rFonts w:hint="eastAsia" w:eastAsia="宋体"/>
        </w:rPr>
        <w:fldChar w:fldCharType="end"/>
      </w:r>
      <w:r>
        <w:rPr>
          <w:rFonts w:eastAsia="宋体"/>
        </w:rPr>
        <w:t>4</w:t>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"_Toc79779432" </w:instrText>
      </w:r>
      <w:r>
        <w:fldChar w:fldCharType="separate"/>
      </w:r>
      <w:r>
        <w:rPr>
          <w:rStyle w:val="24"/>
          <w:rFonts w:ascii="Times New Roman" w:eastAsia="楷体_GB2312"/>
          <w:u w:color="0000FF"/>
        </w:rPr>
        <w:t>（二）推进“丽水智造”标准建设</w:t>
      </w:r>
      <w:r>
        <w:tab/>
      </w:r>
      <w:r>
        <w:fldChar w:fldCharType="begin"/>
      </w:r>
      <w:r>
        <w:instrText xml:space="preserve"> PAGEREF _Toc79779432 \h </w:instrText>
      </w:r>
      <w:r>
        <w:fldChar w:fldCharType="separate"/>
      </w:r>
      <w:r>
        <w:t>1</w:t>
      </w:r>
      <w:r>
        <w:rPr>
          <w:rFonts w:eastAsia="宋体"/>
        </w:rPr>
        <w:t>7</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"_Toc79779433" </w:instrText>
      </w:r>
      <w:r>
        <w:fldChar w:fldCharType="separate"/>
      </w:r>
      <w:r>
        <w:rPr>
          <w:rStyle w:val="24"/>
          <w:rFonts w:ascii="Times New Roman" w:eastAsia="楷体_GB2312"/>
          <w:u w:color="0000FF"/>
        </w:rPr>
        <w:t>（三）强化“丽水智造”品牌培育</w:t>
      </w:r>
      <w:r>
        <w:tab/>
      </w:r>
      <w:r>
        <w:fldChar w:fldCharType="begin"/>
      </w:r>
      <w:r>
        <w:instrText xml:space="preserve"> PAGEREF _Toc79779433 \h </w:instrText>
      </w:r>
      <w:r>
        <w:fldChar w:fldCharType="separate"/>
      </w:r>
      <w:r>
        <w:t>1</w:t>
      </w:r>
      <w:r>
        <w:rPr>
          <w:rFonts w:hint="eastAsia"/>
        </w:rPr>
        <w:t>8</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"_Toc79779434" </w:instrText>
      </w:r>
      <w:r>
        <w:fldChar w:fldCharType="separate"/>
      </w:r>
      <w:r>
        <w:rPr>
          <w:rStyle w:val="24"/>
          <w:rFonts w:hint="eastAsia" w:ascii="微软雅黑" w:hAnsi="微软雅黑" w:eastAsia="微软雅黑" w:cs="微软雅黑"/>
          <w:b w:val="0"/>
          <w:bCs w:val="0"/>
          <w:u w:color="0000FF"/>
        </w:rPr>
        <w:t>四、打造</w:t>
      </w:r>
      <w:r>
        <w:rPr>
          <w:rStyle w:val="24"/>
          <w:b w:val="0"/>
          <w:bCs w:val="0"/>
          <w:u w:color="0000FF"/>
        </w:rPr>
        <w:t>“</w:t>
      </w:r>
      <w:r>
        <w:rPr>
          <w:rStyle w:val="24"/>
          <w:rFonts w:hint="eastAsia" w:ascii="微软雅黑" w:hAnsi="微软雅黑" w:eastAsia="微软雅黑" w:cs="微软雅黑"/>
          <w:b w:val="0"/>
          <w:bCs w:val="0"/>
          <w:u w:color="0000FF"/>
        </w:rPr>
        <w:t>丽水服务</w:t>
      </w:r>
      <w:r>
        <w:rPr>
          <w:rStyle w:val="24"/>
          <w:b w:val="0"/>
          <w:bCs w:val="0"/>
          <w:u w:color="0000FF"/>
        </w:rPr>
        <w:t>”</w:t>
      </w:r>
      <w:r>
        <w:rPr>
          <w:rStyle w:val="24"/>
          <w:rFonts w:hint="eastAsia" w:ascii="微软雅黑" w:hAnsi="微软雅黑" w:eastAsia="微软雅黑" w:cs="微软雅黑"/>
          <w:b w:val="0"/>
          <w:bCs w:val="0"/>
          <w:u w:color="0000FF"/>
        </w:rPr>
        <w:t>高质量发展</w:t>
      </w:r>
      <w:r>
        <w:rPr>
          <w:b w:val="0"/>
          <w:bCs w:val="0"/>
        </w:rPr>
        <w:tab/>
      </w:r>
      <w:r>
        <w:fldChar w:fldCharType="begin"/>
      </w:r>
      <w:r>
        <w:instrText xml:space="preserve"> PAGEREF _Toc79779434 \h </w:instrText>
      </w:r>
      <w:r>
        <w:fldChar w:fldCharType="separate"/>
      </w:r>
      <w:r>
        <w:rPr>
          <w:b w:val="0"/>
          <w:bCs w:val="0"/>
        </w:rPr>
        <w:t>2</w:t>
      </w:r>
      <w:r>
        <w:rPr>
          <w:rFonts w:hint="eastAsia"/>
          <w:b w:val="0"/>
          <w:bCs w:val="0"/>
        </w:rPr>
        <w:t>0</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"_Toc79779435" </w:instrText>
      </w:r>
      <w:r>
        <w:fldChar w:fldCharType="separate"/>
      </w:r>
      <w:r>
        <w:rPr>
          <w:rStyle w:val="24"/>
          <w:rFonts w:ascii="Times New Roman" w:eastAsia="楷体_GB2312"/>
          <w:u w:color="0000FF"/>
        </w:rPr>
        <w:t>（一）深化“丽水服务”高质量提升</w:t>
      </w:r>
      <w:r>
        <w:tab/>
      </w:r>
      <w:r>
        <w:fldChar w:fldCharType="begin"/>
      </w:r>
      <w:r>
        <w:instrText xml:space="preserve"> PAGEREF _Toc79779435 \h </w:instrText>
      </w:r>
      <w:r>
        <w:fldChar w:fldCharType="separate"/>
      </w:r>
      <w:r>
        <w:t>2</w:t>
      </w:r>
      <w:r>
        <w:rPr>
          <w:rFonts w:hint="eastAsia"/>
        </w:rPr>
        <w:t>0</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"_Toc79779436" </w:instrText>
      </w:r>
      <w:r>
        <w:fldChar w:fldCharType="separate"/>
      </w:r>
      <w:r>
        <w:rPr>
          <w:rStyle w:val="24"/>
          <w:rFonts w:ascii="Times New Roman" w:eastAsia="楷体_GB2312"/>
          <w:u w:color="0000FF"/>
        </w:rPr>
        <w:t>（二）构建“丽水服务”高标准体系</w:t>
      </w:r>
      <w:r>
        <w:tab/>
      </w:r>
      <w:r>
        <w:fldChar w:fldCharType="begin"/>
      </w:r>
      <w:r>
        <w:instrText xml:space="preserve"> PAGEREF _Toc79779436 \h </w:instrText>
      </w:r>
      <w:r>
        <w:fldChar w:fldCharType="separate"/>
      </w:r>
      <w:r>
        <w:t>2</w:t>
      </w:r>
      <w:r>
        <w:rPr>
          <w:rFonts w:hint="eastAsia"/>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"_Toc79779437" </w:instrText>
      </w:r>
      <w:r>
        <w:fldChar w:fldCharType="separate"/>
      </w:r>
      <w:r>
        <w:rPr>
          <w:rStyle w:val="24"/>
          <w:rFonts w:ascii="Times New Roman" w:eastAsia="楷体_GB2312"/>
          <w:u w:color="0000FF"/>
        </w:rPr>
        <w:t>（三）铸造“丽水服务”高光度品牌</w:t>
      </w:r>
      <w:r>
        <w:tab/>
      </w:r>
      <w:r>
        <w:fldChar w:fldCharType="begin"/>
      </w:r>
      <w:r>
        <w:instrText xml:space="preserve"> PAGEREF _Toc79779437 \h </w:instrText>
      </w:r>
      <w:r>
        <w:fldChar w:fldCharType="separate"/>
      </w:r>
      <w:r>
        <w:t>2</w:t>
      </w:r>
      <w:r>
        <w:rPr>
          <w:rFonts w:hint="eastAsia"/>
        </w:rPr>
        <w:t>4</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"_Toc79779438" </w:instrText>
      </w:r>
      <w:r>
        <w:fldChar w:fldCharType="separate"/>
      </w:r>
      <w:r>
        <w:rPr>
          <w:rStyle w:val="24"/>
          <w:rFonts w:hint="eastAsia" w:ascii="微软雅黑" w:hAnsi="微软雅黑" w:eastAsia="微软雅黑" w:cs="微软雅黑"/>
          <w:b w:val="0"/>
          <w:bCs w:val="0"/>
          <w:u w:color="0000FF"/>
        </w:rPr>
        <w:t>五、树立</w:t>
      </w:r>
      <w:r>
        <w:rPr>
          <w:rStyle w:val="24"/>
          <w:b w:val="0"/>
          <w:bCs w:val="0"/>
          <w:u w:color="0000FF"/>
        </w:rPr>
        <w:t>“</w:t>
      </w:r>
      <w:r>
        <w:rPr>
          <w:rStyle w:val="24"/>
          <w:rFonts w:hint="eastAsia" w:ascii="微软雅黑" w:hAnsi="微软雅黑" w:eastAsia="微软雅黑" w:cs="微软雅黑"/>
          <w:b w:val="0"/>
          <w:bCs w:val="0"/>
          <w:u w:color="0000FF"/>
        </w:rPr>
        <w:t>丽水建设</w:t>
      </w:r>
      <w:r>
        <w:rPr>
          <w:rStyle w:val="24"/>
          <w:b w:val="0"/>
          <w:bCs w:val="0"/>
          <w:u w:color="0000FF"/>
        </w:rPr>
        <w:t>”</w:t>
      </w:r>
      <w:r>
        <w:rPr>
          <w:rStyle w:val="24"/>
          <w:rFonts w:hint="eastAsia" w:ascii="微软雅黑" w:hAnsi="微软雅黑" w:eastAsia="微软雅黑" w:cs="微软雅黑"/>
          <w:b w:val="0"/>
          <w:bCs w:val="0"/>
          <w:u w:color="0000FF"/>
        </w:rPr>
        <w:t>高质量标杆</w:t>
      </w:r>
      <w:r>
        <w:rPr>
          <w:b w:val="0"/>
          <w:bCs w:val="0"/>
        </w:rPr>
        <w:tab/>
      </w:r>
      <w:r>
        <w:fldChar w:fldCharType="begin"/>
      </w:r>
      <w:r>
        <w:instrText xml:space="preserve"> PAGEREF _Toc79779438 \h </w:instrText>
      </w:r>
      <w:r>
        <w:fldChar w:fldCharType="separate"/>
      </w:r>
      <w:r>
        <w:rPr>
          <w:b w:val="0"/>
          <w:bCs w:val="0"/>
        </w:rPr>
        <w:t>2</w:t>
      </w:r>
      <w:r>
        <w:rPr>
          <w:rFonts w:hint="eastAsia"/>
          <w:b w:val="0"/>
          <w:bCs w:val="0"/>
        </w:rPr>
        <w:t>8</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"_Toc79779439" </w:instrText>
      </w:r>
      <w:r>
        <w:fldChar w:fldCharType="separate"/>
      </w:r>
      <w:r>
        <w:rPr>
          <w:rStyle w:val="24"/>
          <w:rFonts w:ascii="Times New Roman" w:eastAsia="楷体_GB2312"/>
          <w:u w:color="0000FF"/>
        </w:rPr>
        <w:t>（一）提升工程建设质量水平</w:t>
      </w:r>
      <w:r>
        <w:tab/>
      </w:r>
      <w:r>
        <w:fldChar w:fldCharType="begin"/>
      </w:r>
      <w:r>
        <w:instrText xml:space="preserve"> PAGEREF _Toc79779439 \h </w:instrText>
      </w:r>
      <w:r>
        <w:fldChar w:fldCharType="separate"/>
      </w:r>
      <w:r>
        <w:t>2</w:t>
      </w:r>
      <w:r>
        <w:rPr>
          <w:rFonts w:hint="eastAsia"/>
        </w:rPr>
        <w:t>8</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"_Toc79779440" </w:instrText>
      </w:r>
      <w:r>
        <w:fldChar w:fldCharType="separate"/>
      </w:r>
      <w:r>
        <w:rPr>
          <w:rStyle w:val="24"/>
          <w:rFonts w:ascii="Times New Roman" w:eastAsia="楷体_GB2312"/>
          <w:u w:color="0000FF"/>
        </w:rPr>
        <w:t>（二）建立优质工程标准体系</w:t>
      </w:r>
      <w:r>
        <w:tab/>
      </w:r>
      <w:r>
        <w:rPr>
          <w:rFonts w:hint="eastAsia"/>
        </w:rPr>
        <w:t>29</w:t>
      </w:r>
      <w:r>
        <w:rPr>
          <w:rFonts w:hint="eastAsia"/>
        </w:rPr>
        <w:fldChar w:fldCharType="end"/>
      </w:r>
    </w:p>
    <w:p>
      <w:pPr>
        <w:pStyle w:val="15"/>
        <w:tabs>
          <w:tab w:val="right" w:leader="dot" w:pos="8302"/>
        </w:tabs>
        <w:spacing w:line="660" w:lineRule="exact"/>
        <w:ind w:left="0" w:firstLine="640" w:firstLineChars="200"/>
        <w:textAlignment w:val="baseline"/>
        <w:sectPr>
          <w:footerReference r:id="rId3" w:type="default"/>
          <w:pgSz w:w="11906" w:h="16838"/>
          <w:pgMar w:top="1440" w:right="1797" w:bottom="1440" w:left="1797" w:header="851" w:footer="992" w:gutter="0"/>
          <w:pgNumType w:start="1"/>
          <w:cols w:space="720" w:num="1"/>
          <w:docGrid w:type="lines" w:linePitch="600" w:charSpace="0"/>
        </w:sectPr>
      </w:pP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"_Toc79779441" </w:instrText>
      </w:r>
      <w:r>
        <w:fldChar w:fldCharType="separate"/>
      </w:r>
      <w:r>
        <w:rPr>
          <w:rStyle w:val="24"/>
          <w:rFonts w:ascii="Times New Roman" w:eastAsia="楷体_GB2312"/>
          <w:u w:color="0000FF"/>
        </w:rPr>
        <w:t>（三）加快工程建设品牌提升</w:t>
      </w:r>
      <w:r>
        <w:tab/>
      </w:r>
      <w:r>
        <w:fldChar w:fldCharType="begin"/>
      </w:r>
      <w:r>
        <w:instrText xml:space="preserve"> PAGEREF _Toc79779441 \h </w:instrText>
      </w:r>
      <w:r>
        <w:fldChar w:fldCharType="separate"/>
      </w:r>
      <w:r>
        <w:t>3</w:t>
      </w:r>
      <w:r>
        <w:rPr>
          <w:rFonts w:hint="eastAsia"/>
        </w:rPr>
        <w:t>1</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"_Toc79779442" </w:instrText>
      </w:r>
      <w:r>
        <w:fldChar w:fldCharType="separate"/>
      </w:r>
      <w:r>
        <w:rPr>
          <w:rStyle w:val="24"/>
          <w:rFonts w:hint="eastAsia" w:ascii="微软雅黑" w:hAnsi="微软雅黑" w:eastAsia="微软雅黑" w:cs="微软雅黑"/>
          <w:b w:val="0"/>
          <w:bCs w:val="0"/>
          <w:u w:color="0000FF"/>
        </w:rPr>
        <w:t>六、开拓</w:t>
      </w:r>
      <w:r>
        <w:rPr>
          <w:rStyle w:val="24"/>
          <w:b w:val="0"/>
          <w:bCs w:val="0"/>
          <w:u w:color="0000FF"/>
        </w:rPr>
        <w:t>“</w:t>
      </w:r>
      <w:r>
        <w:rPr>
          <w:rStyle w:val="24"/>
          <w:rFonts w:hint="eastAsia" w:ascii="微软雅黑" w:hAnsi="微软雅黑" w:eastAsia="微软雅黑" w:cs="微软雅黑"/>
          <w:b w:val="0"/>
          <w:bCs w:val="0"/>
          <w:u w:color="0000FF"/>
        </w:rPr>
        <w:t>丽水环境</w:t>
      </w:r>
      <w:r>
        <w:rPr>
          <w:rStyle w:val="24"/>
          <w:b w:val="0"/>
          <w:bCs w:val="0"/>
          <w:u w:color="0000FF"/>
        </w:rPr>
        <w:t>”</w:t>
      </w:r>
      <w:r>
        <w:rPr>
          <w:rStyle w:val="24"/>
          <w:rFonts w:hint="eastAsia" w:ascii="微软雅黑" w:hAnsi="微软雅黑" w:eastAsia="微软雅黑" w:cs="微软雅黑"/>
          <w:b w:val="0"/>
          <w:bCs w:val="0"/>
          <w:u w:color="0000FF"/>
        </w:rPr>
        <w:t>高质量窗口</w:t>
      </w:r>
      <w:r>
        <w:rPr>
          <w:b w:val="0"/>
          <w:bCs w:val="0"/>
        </w:rPr>
        <w:tab/>
      </w:r>
      <w:r>
        <w:fldChar w:fldCharType="begin"/>
      </w:r>
      <w:r>
        <w:instrText xml:space="preserve"> PAGEREF _Toc79779442 \h </w:instrText>
      </w:r>
      <w:r>
        <w:fldChar w:fldCharType="separate"/>
      </w:r>
      <w:r>
        <w:rPr>
          <w:b w:val="0"/>
          <w:bCs w:val="0"/>
        </w:rPr>
        <w:t>3</w:t>
      </w:r>
      <w:r>
        <w:rPr>
          <w:rFonts w:hint="eastAsia"/>
          <w:b w:val="0"/>
          <w:bCs w:val="0"/>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"_Toc79779443" </w:instrText>
      </w:r>
      <w:r>
        <w:fldChar w:fldCharType="separate"/>
      </w:r>
      <w:r>
        <w:rPr>
          <w:rStyle w:val="24"/>
          <w:rFonts w:ascii="Times New Roman" w:eastAsia="楷体_GB2312"/>
          <w:u w:color="0000FF"/>
        </w:rPr>
        <w:t>（一）建设大花园最美核心区</w:t>
      </w:r>
      <w:r>
        <w:tab/>
      </w:r>
      <w:r>
        <w:fldChar w:fldCharType="begin"/>
      </w:r>
      <w:r>
        <w:instrText xml:space="preserve"> PAGEREF _Toc79779443 \h </w:instrText>
      </w:r>
      <w:r>
        <w:fldChar w:fldCharType="separate"/>
      </w:r>
      <w:r>
        <w:t>3</w:t>
      </w:r>
      <w:r>
        <w:rPr>
          <w:rFonts w:hint="eastAsia"/>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"_Toc79779444" </w:instrText>
      </w:r>
      <w:r>
        <w:fldChar w:fldCharType="separate"/>
      </w:r>
      <w:r>
        <w:rPr>
          <w:rStyle w:val="24"/>
          <w:rFonts w:ascii="Times New Roman" w:eastAsia="楷体_GB2312"/>
          <w:u w:color="0000FF"/>
        </w:rPr>
        <w:t>（二）建立生态环境标准体系</w:t>
      </w:r>
      <w:r>
        <w:tab/>
      </w:r>
      <w:r>
        <w:fldChar w:fldCharType="begin"/>
      </w:r>
      <w:r>
        <w:instrText xml:space="preserve"> PAGEREF _Toc79779444 \h </w:instrText>
      </w:r>
      <w:r>
        <w:fldChar w:fldCharType="separate"/>
      </w:r>
      <w:r>
        <w:t>3</w:t>
      </w:r>
      <w:r>
        <w:rPr>
          <w:rFonts w:hint="eastAsia"/>
        </w:rPr>
        <w:t>4</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"_Toc79779445" </w:instrText>
      </w:r>
      <w:r>
        <w:fldChar w:fldCharType="separate"/>
      </w:r>
      <w:r>
        <w:rPr>
          <w:rStyle w:val="24"/>
          <w:rFonts w:ascii="Times New Roman" w:eastAsia="楷体_GB2312"/>
          <w:u w:color="0000FF"/>
        </w:rPr>
        <w:t>（三）打造绿色发展丽水样板</w:t>
      </w:r>
      <w:r>
        <w:tab/>
      </w:r>
      <w:r>
        <w:fldChar w:fldCharType="begin"/>
      </w:r>
      <w:r>
        <w:instrText xml:space="preserve"> PAGEREF _Toc79779445 \h </w:instrText>
      </w:r>
      <w:r>
        <w:fldChar w:fldCharType="separate"/>
      </w:r>
      <w:r>
        <w:t>3</w:t>
      </w:r>
      <w:r>
        <w:rPr>
          <w:rFonts w:hint="eastAsia"/>
        </w:rPr>
        <w:t>5</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"_Toc79779446" </w:instrText>
      </w:r>
      <w:r>
        <w:fldChar w:fldCharType="separate"/>
      </w:r>
      <w:r>
        <w:rPr>
          <w:rStyle w:val="24"/>
          <w:rFonts w:hint="eastAsia" w:ascii="微软雅黑" w:hAnsi="微软雅黑" w:eastAsia="微软雅黑" w:cs="微软雅黑"/>
          <w:b w:val="0"/>
          <w:bCs w:val="0"/>
          <w:u w:color="0000FF"/>
        </w:rPr>
        <w:t>七、夯实质量技术基础</w:t>
      </w:r>
      <w:r>
        <w:rPr>
          <w:b w:val="0"/>
          <w:bCs w:val="0"/>
        </w:rPr>
        <w:tab/>
      </w:r>
      <w:r>
        <w:fldChar w:fldCharType="begin"/>
      </w:r>
      <w:r>
        <w:instrText xml:space="preserve"> PAGEREF _Toc79779446 \h </w:instrText>
      </w:r>
      <w:r>
        <w:fldChar w:fldCharType="separate"/>
      </w:r>
      <w:r>
        <w:rPr>
          <w:b w:val="0"/>
          <w:bCs w:val="0"/>
        </w:rPr>
        <w:t>3</w:t>
      </w:r>
      <w:r>
        <w:rPr>
          <w:rFonts w:hint="eastAsia"/>
          <w:b w:val="0"/>
          <w:bCs w:val="0"/>
        </w:rPr>
        <w:t>8</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"_Toc79779447" </w:instrText>
      </w:r>
      <w:r>
        <w:fldChar w:fldCharType="separate"/>
      </w:r>
      <w:r>
        <w:rPr>
          <w:rStyle w:val="24"/>
          <w:rFonts w:ascii="Times New Roman" w:eastAsia="楷体_GB2312"/>
          <w:u w:color="0000FF"/>
        </w:rPr>
        <w:t>（一）夯实标准化基础</w:t>
      </w:r>
      <w:r>
        <w:tab/>
      </w:r>
      <w:r>
        <w:fldChar w:fldCharType="begin"/>
      </w:r>
      <w:r>
        <w:instrText xml:space="preserve"> PAGEREF _Toc79779447 \h </w:instrText>
      </w:r>
      <w:r>
        <w:fldChar w:fldCharType="separate"/>
      </w:r>
      <w:r>
        <w:t>3</w:t>
      </w:r>
      <w:r>
        <w:rPr>
          <w:rFonts w:hint="eastAsia"/>
        </w:rPr>
        <w:t>8</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"_Toc79779448" </w:instrText>
      </w:r>
      <w:r>
        <w:fldChar w:fldCharType="separate"/>
      </w:r>
      <w:r>
        <w:rPr>
          <w:rStyle w:val="24"/>
          <w:rFonts w:ascii="Times New Roman" w:eastAsia="楷体_GB2312"/>
          <w:u w:color="0000FF"/>
        </w:rPr>
        <w:t>（二）建设先进计量体系</w:t>
      </w:r>
      <w:r>
        <w:tab/>
      </w:r>
      <w:r>
        <w:rPr>
          <w:rFonts w:hint="eastAsia"/>
        </w:rPr>
        <w:t>3</w:t>
      </w:r>
      <w:r>
        <w:t>9</w:t>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"_Toc79779449" </w:instrText>
      </w:r>
      <w:r>
        <w:fldChar w:fldCharType="separate"/>
      </w:r>
      <w:r>
        <w:rPr>
          <w:rStyle w:val="24"/>
          <w:rFonts w:ascii="Times New Roman" w:eastAsia="楷体_GB2312"/>
          <w:u w:color="0000FF"/>
        </w:rPr>
        <w:t>（三）提升检验检测能力</w:t>
      </w:r>
      <w:r>
        <w:tab/>
      </w:r>
      <w:r>
        <w:rPr>
          <w:rFonts w:hint="eastAsia"/>
        </w:rPr>
        <w:t>39</w:t>
      </w:r>
      <w:r>
        <w:rPr>
          <w:rFonts w:hint="eastAsia"/>
        </w:rP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"_Toc79779450" </w:instrText>
      </w:r>
      <w:r>
        <w:fldChar w:fldCharType="separate"/>
      </w:r>
      <w:r>
        <w:rPr>
          <w:rStyle w:val="24"/>
          <w:rFonts w:ascii="Times New Roman" w:eastAsia="楷体_GB2312"/>
          <w:u w:color="0000FF"/>
        </w:rPr>
        <w:t>（四）强化认证认可服务</w:t>
      </w:r>
      <w:r>
        <w:tab/>
      </w:r>
      <w:r>
        <w:fldChar w:fldCharType="begin"/>
      </w:r>
      <w:r>
        <w:instrText xml:space="preserve"> PAGEREF _Toc79779450 \h </w:instrText>
      </w:r>
      <w:r>
        <w:fldChar w:fldCharType="separate"/>
      </w:r>
      <w:r>
        <w:t>4</w:t>
      </w:r>
      <w:r>
        <w:rPr>
          <w:rFonts w:hint="eastAsia"/>
        </w:rPr>
        <w:t>0</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"_Toc79779451" </w:instrText>
      </w:r>
      <w:r>
        <w:fldChar w:fldCharType="separate"/>
      </w:r>
      <w:r>
        <w:rPr>
          <w:rStyle w:val="24"/>
          <w:rFonts w:ascii="Times New Roman" w:eastAsia="楷体_GB2312"/>
          <w:u w:color="0000FF"/>
        </w:rPr>
        <w:t>（五）加强知识产权保护</w:t>
      </w:r>
      <w:r>
        <w:tab/>
      </w:r>
      <w:r>
        <w:fldChar w:fldCharType="begin"/>
      </w:r>
      <w:r>
        <w:instrText xml:space="preserve"> PAGEREF _Toc79779451 \h </w:instrText>
      </w:r>
      <w:r>
        <w:fldChar w:fldCharType="separate"/>
      </w:r>
      <w:r>
        <w:t>4</w:t>
      </w:r>
      <w:r>
        <w:rPr>
          <w:rFonts w:hint="eastAsia"/>
        </w:rPr>
        <w:t>0</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"_Toc79779452" </w:instrText>
      </w:r>
      <w:r>
        <w:fldChar w:fldCharType="separate"/>
      </w:r>
      <w:r>
        <w:rPr>
          <w:rStyle w:val="24"/>
          <w:rFonts w:hint="eastAsia" w:ascii="微软雅黑" w:hAnsi="微软雅黑" w:eastAsia="微软雅黑" w:cs="微软雅黑"/>
          <w:b w:val="0"/>
          <w:bCs w:val="0"/>
          <w:u w:color="0000FF"/>
        </w:rPr>
        <w:t>八、强化质量安全监管</w:t>
      </w:r>
      <w:r>
        <w:rPr>
          <w:b w:val="0"/>
          <w:bCs w:val="0"/>
        </w:rPr>
        <w:tab/>
      </w:r>
      <w:r>
        <w:fldChar w:fldCharType="begin"/>
      </w:r>
      <w:r>
        <w:instrText xml:space="preserve"> PAGEREF _Toc79779452 \h </w:instrText>
      </w:r>
      <w:r>
        <w:fldChar w:fldCharType="separate"/>
      </w:r>
      <w:r>
        <w:rPr>
          <w:b w:val="0"/>
          <w:bCs w:val="0"/>
        </w:rPr>
        <w:t>4</w:t>
      </w:r>
      <w:r>
        <w:rPr>
          <w:rFonts w:hint="eastAsia"/>
          <w:b w:val="0"/>
          <w:bCs w:val="0"/>
        </w:rPr>
        <w:t>1</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"_Toc79779453" </w:instrText>
      </w:r>
      <w:r>
        <w:fldChar w:fldCharType="separate"/>
      </w:r>
      <w:r>
        <w:rPr>
          <w:rStyle w:val="24"/>
          <w:rFonts w:ascii="Times New Roman" w:eastAsia="楷体_GB2312"/>
          <w:u w:color="0000FF"/>
        </w:rPr>
        <w:t>（一）提升质量安全监管能力</w:t>
      </w:r>
      <w:r>
        <w:tab/>
      </w:r>
      <w:r>
        <w:fldChar w:fldCharType="begin"/>
      </w:r>
      <w:r>
        <w:instrText xml:space="preserve"> PAGEREF _Toc79779453 \h </w:instrText>
      </w:r>
      <w:r>
        <w:fldChar w:fldCharType="separate"/>
      </w:r>
      <w:r>
        <w:t>4</w:t>
      </w:r>
      <w:r>
        <w:rPr>
          <w:rFonts w:hint="eastAsia"/>
        </w:rPr>
        <w:t>1</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"_Toc79779454" </w:instrText>
      </w:r>
      <w:r>
        <w:fldChar w:fldCharType="separate"/>
      </w:r>
      <w:r>
        <w:rPr>
          <w:rStyle w:val="24"/>
          <w:rFonts w:ascii="Times New Roman" w:eastAsia="楷体_GB2312"/>
          <w:u w:color="0000FF"/>
        </w:rPr>
        <w:t>（二）健全质量安全监管机制</w:t>
      </w:r>
      <w:r>
        <w:tab/>
      </w:r>
      <w:r>
        <w:fldChar w:fldCharType="begin"/>
      </w:r>
      <w:r>
        <w:instrText xml:space="preserve"> PAGEREF _Toc79779454 \h </w:instrText>
      </w:r>
      <w:r>
        <w:fldChar w:fldCharType="separate"/>
      </w:r>
      <w:r>
        <w:t>4</w:t>
      </w:r>
      <w:r>
        <w:rPr>
          <w:rFonts w:hint="eastAsia"/>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"_Toc79779455" </w:instrText>
      </w:r>
      <w:r>
        <w:fldChar w:fldCharType="separate"/>
      </w:r>
      <w:r>
        <w:rPr>
          <w:rStyle w:val="24"/>
          <w:rFonts w:ascii="Times New Roman" w:eastAsia="楷体_GB2312"/>
          <w:u w:color="0000FF"/>
        </w:rPr>
        <w:t>（三）构建质量安全防控体系</w:t>
      </w:r>
      <w:r>
        <w:tab/>
      </w:r>
      <w:r>
        <w:fldChar w:fldCharType="begin"/>
      </w:r>
      <w:r>
        <w:instrText xml:space="preserve"> PAGEREF _Toc79779455 \h </w:instrText>
      </w:r>
      <w:r>
        <w:fldChar w:fldCharType="separate"/>
      </w:r>
      <w:r>
        <w:t>4</w:t>
      </w:r>
      <w:r>
        <w:rPr>
          <w:rFonts w:hint="eastAsia"/>
        </w:rPr>
        <w:t>2</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"_Toc79779456" </w:instrText>
      </w:r>
      <w:r>
        <w:fldChar w:fldCharType="separate"/>
      </w:r>
      <w:r>
        <w:rPr>
          <w:rStyle w:val="24"/>
          <w:rFonts w:ascii="Times New Roman" w:eastAsia="楷体_GB2312"/>
          <w:u w:color="0000FF"/>
        </w:rPr>
        <w:t>（四）筑牢特种设备监管底线</w:t>
      </w:r>
      <w:r>
        <w:tab/>
      </w:r>
      <w:r>
        <w:fldChar w:fldCharType="begin"/>
      </w:r>
      <w:r>
        <w:instrText xml:space="preserve"> PAGEREF _Toc79779456 \h </w:instrText>
      </w:r>
      <w:r>
        <w:fldChar w:fldCharType="separate"/>
      </w:r>
      <w:r>
        <w:t>4</w:t>
      </w:r>
      <w:r>
        <w:rPr>
          <w:rFonts w:hint="eastAsia"/>
        </w:rPr>
        <w:t>3</w:t>
      </w:r>
      <w:r>
        <w:fldChar w:fldCharType="end"/>
      </w:r>
      <w:r>
        <w:fldChar w:fldCharType="end"/>
      </w:r>
    </w:p>
    <w:p>
      <w:pPr>
        <w:pStyle w:val="14"/>
        <w:tabs>
          <w:tab w:val="right" w:leader="dot" w:pos="8302"/>
        </w:tabs>
        <w:spacing w:before="0" w:after="0" w:line="660" w:lineRule="exact"/>
        <w:ind w:firstLine="640" w:firstLineChars="200"/>
        <w:textAlignment w:val="baseline"/>
        <w:rPr>
          <w:b w:val="0"/>
          <w:bCs w:val="0"/>
          <w:caps w:val="0"/>
          <w:sz w:val="21"/>
          <w:szCs w:val="24"/>
        </w:rPr>
      </w:pPr>
      <w:r>
        <w:fldChar w:fldCharType="begin"/>
      </w:r>
      <w:r>
        <w:instrText xml:space="preserve"> HYPERLINK \l "_Toc79779457" </w:instrText>
      </w:r>
      <w:r>
        <w:fldChar w:fldCharType="separate"/>
      </w:r>
      <w:r>
        <w:rPr>
          <w:rStyle w:val="24"/>
          <w:rFonts w:hint="eastAsia" w:ascii="微软雅黑" w:hAnsi="微软雅黑" w:eastAsia="微软雅黑" w:cs="微软雅黑"/>
          <w:b w:val="0"/>
          <w:bCs w:val="0"/>
          <w:u w:color="0000FF"/>
        </w:rPr>
        <w:t>九、提升质量保障能力</w:t>
      </w:r>
      <w:r>
        <w:rPr>
          <w:b w:val="0"/>
          <w:bCs w:val="0"/>
        </w:rPr>
        <w:tab/>
      </w:r>
      <w:r>
        <w:fldChar w:fldCharType="begin"/>
      </w:r>
      <w:r>
        <w:instrText xml:space="preserve"> PAGEREF _Toc79779457 \h </w:instrText>
      </w:r>
      <w:r>
        <w:fldChar w:fldCharType="separate"/>
      </w:r>
      <w:r>
        <w:rPr>
          <w:b w:val="0"/>
          <w:bCs w:val="0"/>
        </w:rPr>
        <w:t>4</w:t>
      </w:r>
      <w:r>
        <w:rPr>
          <w:rFonts w:hint="eastAsia"/>
          <w:b w:val="0"/>
          <w:bCs w:val="0"/>
        </w:rPr>
        <w:t>4</w:t>
      </w:r>
      <w:r>
        <w:fldChar w:fldCharType="end"/>
      </w:r>
      <w: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"_Toc79779458" </w:instrText>
      </w:r>
      <w:r>
        <w:fldChar w:fldCharType="separate"/>
      </w:r>
      <w:r>
        <w:rPr>
          <w:rStyle w:val="24"/>
          <w:rFonts w:ascii="Times New Roman" w:eastAsia="楷体_GB2312"/>
          <w:u w:color="0000FF"/>
        </w:rPr>
        <w:t>（一）强化组织保障</w:t>
      </w:r>
      <w:r>
        <w:tab/>
      </w:r>
      <w:r>
        <w:rPr>
          <w:rFonts w:hint="eastAsia"/>
        </w:rPr>
        <w:t>44</w:t>
      </w:r>
      <w:r>
        <w:rPr>
          <w:rFonts w:hint="eastAsia"/>
        </w:rPr>
        <w:fldChar w:fldCharType="end"/>
      </w:r>
    </w:p>
    <w:p>
      <w:pPr>
        <w:pStyle w:val="15"/>
        <w:tabs>
          <w:tab w:val="right" w:leader="dot" w:pos="8302"/>
        </w:tabs>
        <w:spacing w:line="660" w:lineRule="exact"/>
        <w:ind w:left="0" w:firstLine="640" w:firstLineChars="200"/>
        <w:textAlignment w:val="baseline"/>
        <w:rPr>
          <w:sz w:val="21"/>
          <w:szCs w:val="24"/>
        </w:rPr>
      </w:pPr>
      <w:r>
        <w:fldChar w:fldCharType="begin"/>
      </w:r>
      <w:r>
        <w:instrText xml:space="preserve"> HYPERLINK \l "_Toc79779459" </w:instrText>
      </w:r>
      <w:r>
        <w:fldChar w:fldCharType="separate"/>
      </w:r>
      <w:r>
        <w:rPr>
          <w:rStyle w:val="24"/>
          <w:rFonts w:ascii="Times New Roman" w:eastAsia="楷体_GB2312"/>
          <w:u w:color="0000FF"/>
        </w:rPr>
        <w:t>（二）强化政策支持</w:t>
      </w:r>
      <w:r>
        <w:tab/>
      </w:r>
      <w:r>
        <w:fldChar w:fldCharType="begin"/>
      </w:r>
      <w:r>
        <w:instrText xml:space="preserve"> PAGEREF _Toc79779459 \h </w:instrText>
      </w:r>
      <w:r>
        <w:fldChar w:fldCharType="separate"/>
      </w:r>
      <w:r>
        <w:t>4</w:t>
      </w:r>
      <w:r>
        <w:rPr>
          <w:rFonts w:hint="eastAsia"/>
        </w:rPr>
        <w:t>4</w:t>
      </w:r>
      <w:r>
        <w:fldChar w:fldCharType="end"/>
      </w:r>
      <w:r>
        <w:fldChar w:fldCharType="end"/>
      </w:r>
    </w:p>
    <w:p>
      <w:pPr>
        <w:pStyle w:val="15"/>
        <w:tabs>
          <w:tab w:val="right" w:leader="dot" w:pos="8302"/>
        </w:tabs>
        <w:spacing w:line="660" w:lineRule="exact"/>
        <w:ind w:left="0" w:firstLine="640" w:firstLineChars="200"/>
        <w:textAlignment w:val="baseline"/>
      </w:pPr>
      <w:r>
        <w:fldChar w:fldCharType="begin"/>
      </w:r>
      <w:r>
        <w:instrText xml:space="preserve"> HYPERLINK \l "_Toc79779460" </w:instrText>
      </w:r>
      <w:r>
        <w:fldChar w:fldCharType="separate"/>
      </w:r>
      <w:r>
        <w:rPr>
          <w:rStyle w:val="24"/>
          <w:rFonts w:ascii="Times New Roman" w:eastAsia="楷体_GB2312"/>
          <w:u w:color="0000FF"/>
        </w:rPr>
        <w:t>（三）强化人才供给</w:t>
      </w:r>
      <w:r>
        <w:tab/>
      </w:r>
      <w:r>
        <w:fldChar w:fldCharType="begin"/>
      </w:r>
      <w:r>
        <w:instrText xml:space="preserve"> PAGEREF _Toc79779460 \h </w:instrText>
      </w:r>
      <w:r>
        <w:fldChar w:fldCharType="separate"/>
      </w:r>
      <w:r>
        <w:t>4</w:t>
      </w:r>
      <w:r>
        <w:rPr>
          <w:rFonts w:hint="eastAsia"/>
        </w:rPr>
        <w:t>4</w:t>
      </w:r>
      <w:r>
        <w:fldChar w:fldCharType="end"/>
      </w:r>
      <w:r>
        <w:fldChar w:fldCharType="end"/>
      </w:r>
    </w:p>
    <w:p>
      <w:pPr>
        <w:pStyle w:val="15"/>
        <w:tabs>
          <w:tab w:val="right" w:leader="dot" w:pos="8302"/>
        </w:tabs>
        <w:spacing w:line="660" w:lineRule="exact"/>
        <w:ind w:left="0" w:firstLine="640" w:firstLineChars="200"/>
        <w:textAlignment w:val="baseline"/>
      </w:pPr>
      <w:r>
        <w:fldChar w:fldCharType="begin"/>
      </w:r>
      <w:r>
        <w:instrText xml:space="preserve"> HYPERLINK \l "_Toc79779460" </w:instrText>
      </w:r>
      <w:r>
        <w:fldChar w:fldCharType="separate"/>
      </w:r>
      <w:r>
        <w:rPr>
          <w:rStyle w:val="24"/>
          <w:rFonts w:ascii="Times New Roman" w:eastAsia="楷体_GB2312"/>
          <w:u w:color="0000FF"/>
        </w:rPr>
        <w:t>（四）强化规划实施</w:t>
      </w:r>
      <w:r>
        <w:tab/>
      </w:r>
      <w:r>
        <w:fldChar w:fldCharType="begin"/>
      </w:r>
      <w:r>
        <w:instrText xml:space="preserve"> PAGEREF _Toc79779460 \h </w:instrText>
      </w:r>
      <w:r>
        <w:fldChar w:fldCharType="separate"/>
      </w:r>
      <w:r>
        <w:t>4</w:t>
      </w:r>
      <w:r>
        <w:rPr>
          <w:rFonts w:hint="eastAsia"/>
        </w:rPr>
        <w:t>5</w:t>
      </w:r>
      <w:r>
        <w:fldChar w:fldCharType="end"/>
      </w:r>
      <w:r>
        <w:fldChar w:fldCharType="end"/>
      </w:r>
    </w:p>
    <w:p>
      <w:pPr>
        <w:pStyle w:val="15"/>
        <w:tabs>
          <w:tab w:val="right" w:leader="dot" w:pos="8302"/>
        </w:tabs>
        <w:ind w:left="0"/>
        <w:textAlignment w:val="baseline"/>
        <w:rPr>
          <w:rStyle w:val="24"/>
          <w:caps/>
          <w:color w:val="000000" w:themeColor="text1"/>
          <w:u w:color="0000FF"/>
          <w14:textFill>
            <w14:solidFill>
              <w14:schemeClr w14:val="tx1"/>
            </w14:solidFill>
          </w14:textFill>
        </w:rPr>
        <w:sectPr>
          <w:footerReference r:id="rId4" w:type="default"/>
          <w:pgSz w:w="11906" w:h="16838"/>
          <w:pgMar w:top="1440" w:right="1797" w:bottom="1440" w:left="1797" w:header="851" w:footer="992" w:gutter="0"/>
          <w:pgNumType w:start="1"/>
          <w:cols w:space="720" w:num="1"/>
          <w:docGrid w:type="lines" w:linePitch="600" w:charSpace="0"/>
        </w:sectPr>
      </w:pPr>
    </w:p>
    <w:p>
      <w:pPr>
        <w:pStyle w:val="15"/>
        <w:tabs>
          <w:tab w:val="right" w:leader="dot" w:pos="8302"/>
        </w:tabs>
        <w:ind w:left="0"/>
        <w:textAlignment w:val="baseline"/>
        <w:rPr>
          <w:rFonts w:ascii="Times New Roman"/>
          <w:b/>
          <w:bCs/>
          <w:color w:val="000000" w:themeColor="text1"/>
          <w14:textFill>
            <w14:solidFill>
              <w14:schemeClr w14:val="tx1"/>
            </w14:solidFill>
          </w14:textFill>
        </w:rPr>
      </w:pPr>
      <w:r>
        <w:fldChar w:fldCharType="end"/>
      </w:r>
    </w:p>
    <w:p>
      <w:pPr>
        <w:pStyle w:val="4"/>
        <w:spacing w:line="600" w:lineRule="exact"/>
        <w:jc w:val="center"/>
        <w:textAlignment w:val="baseline"/>
        <w:rPr>
          <w:b w:val="0"/>
          <w:bCs w:val="0"/>
          <w:color w:val="000000" w:themeColor="text1"/>
          <w:kern w:val="0"/>
          <w14:textFill>
            <w14:solidFill>
              <w14:schemeClr w14:val="tx1"/>
            </w14:solidFill>
          </w14:textFill>
        </w:rPr>
      </w:pPr>
      <w:bookmarkStart w:id="2" w:name="_Toc79779422"/>
      <w:bookmarkStart w:id="3" w:name="_Toc65824877"/>
      <w:r>
        <w:rPr>
          <w:b w:val="0"/>
          <w:bCs w:val="0"/>
          <w:color w:val="000000" w:themeColor="text1"/>
          <w14:textFill>
            <w14:solidFill>
              <w14:schemeClr w14:val="tx1"/>
            </w14:solidFill>
          </w14:textFill>
        </w:rPr>
        <w:t>前    言</w:t>
      </w:r>
      <w:bookmarkEnd w:id="0"/>
      <w:bookmarkEnd w:id="1"/>
      <w:bookmarkEnd w:id="2"/>
      <w:bookmarkEnd w:id="3"/>
    </w:p>
    <w:p>
      <w:pPr>
        <w:spacing w:line="580" w:lineRule="exact"/>
        <w:ind w:firstLine="640" w:firstLineChars="200"/>
        <w:jc w:val="both"/>
        <w:textAlignment w:val="baseline"/>
        <w:rPr>
          <w:rFonts w:eastAsia="仿宋_GB2312"/>
          <w:color w:val="000000" w:themeColor="text1"/>
          <w:sz w:val="32"/>
          <w:szCs w:val="32"/>
          <w:lang w:bidi="ar"/>
          <w14:textFill>
            <w14:solidFill>
              <w14:schemeClr w14:val="tx1"/>
            </w14:solidFill>
          </w14:textFill>
        </w:rPr>
      </w:pPr>
    </w:p>
    <w:p>
      <w:pPr>
        <w:spacing w:line="580" w:lineRule="exact"/>
        <w:ind w:firstLine="640" w:firstLineChars="200"/>
        <w:jc w:val="both"/>
        <w:textAlignment w:val="baseline"/>
        <w:rPr>
          <w:rFonts w:eastAsia="仿宋_GB2312"/>
          <w:color w:val="000000" w:themeColor="text1"/>
          <w:sz w:val="32"/>
          <w:szCs w:val="32"/>
          <w:lang w:bidi="ar"/>
          <w14:textFill>
            <w14:solidFill>
              <w14:schemeClr w14:val="tx1"/>
            </w14:solidFill>
          </w14:textFill>
        </w:rPr>
      </w:pPr>
      <w:r>
        <w:rPr>
          <w:rFonts w:eastAsia="仿宋_GB2312"/>
          <w:color w:val="000000" w:themeColor="text1"/>
          <w:sz w:val="32"/>
          <w:szCs w:val="32"/>
          <w:lang w:bidi="ar"/>
          <w14:textFill>
            <w14:solidFill>
              <w14:schemeClr w14:val="tx1"/>
            </w14:solidFill>
          </w14:textFill>
        </w:rPr>
        <w:t>“十四五”时期是丽水打造“全面展示浙江高水平生态文明建设和高质量绿色发展两方面成果和经验的重要窗口”，全面推进浙江大花园最美核心区、全国生态产品价值实现机制示范区和世界生态旅游目的地总体目标的关键时期。加快构建高质量发展战略规划，编制《丽水市质量发展</w:t>
      </w:r>
      <w:r>
        <w:rPr>
          <w:rFonts w:hint="eastAsia" w:eastAsia="仿宋_GB2312"/>
          <w:color w:val="000000" w:themeColor="text1"/>
          <w:sz w:val="32"/>
          <w:szCs w:val="32"/>
          <w:lang w:bidi="ar"/>
          <w14:textFill>
            <w14:solidFill>
              <w14:schemeClr w14:val="tx1"/>
            </w14:solidFill>
          </w14:textFill>
        </w:rPr>
        <w:t>和标准化“</w:t>
      </w:r>
      <w:r>
        <w:rPr>
          <w:rFonts w:eastAsia="仿宋_GB2312"/>
          <w:color w:val="000000" w:themeColor="text1"/>
          <w:sz w:val="32"/>
          <w:szCs w:val="32"/>
          <w:lang w:bidi="ar"/>
          <w14:textFill>
            <w14:solidFill>
              <w14:schemeClr w14:val="tx1"/>
            </w14:solidFill>
          </w14:textFill>
        </w:rPr>
        <w:t>十四五</w:t>
      </w:r>
      <w:r>
        <w:rPr>
          <w:rFonts w:hint="eastAsia" w:eastAsia="仿宋_GB2312"/>
          <w:color w:val="000000" w:themeColor="text1"/>
          <w:sz w:val="32"/>
          <w:szCs w:val="32"/>
          <w:lang w:bidi="ar"/>
          <w14:textFill>
            <w14:solidFill>
              <w14:schemeClr w14:val="tx1"/>
            </w14:solidFill>
          </w14:textFill>
        </w:rPr>
        <w:t>”</w:t>
      </w:r>
      <w:r>
        <w:rPr>
          <w:rFonts w:eastAsia="仿宋_GB2312"/>
          <w:color w:val="000000" w:themeColor="text1"/>
          <w:sz w:val="32"/>
          <w:szCs w:val="32"/>
          <w:lang w:bidi="ar"/>
          <w14:textFill>
            <w14:solidFill>
              <w14:schemeClr w14:val="tx1"/>
            </w14:solidFill>
          </w14:textFill>
        </w:rPr>
        <w:t>规划》，是在质量和标准化领域践行实现三个“根本”的重要举措，是完成丽水总体战略的根基，是实现丽水城市能级提升、产业层次提高、基础设施提速、创新驱动提档、营商环境提效、开放合作提格、社会民生提质的重要手段，对提升丽水经济发展的质效</w:t>
      </w:r>
      <w:r>
        <w:rPr>
          <w:rFonts w:hint="eastAsia" w:eastAsia="仿宋_GB2312"/>
          <w:color w:val="000000" w:themeColor="text1"/>
          <w:sz w:val="32"/>
          <w:szCs w:val="32"/>
          <w:lang w:bidi="ar"/>
          <w14:textFill>
            <w14:solidFill>
              <w14:schemeClr w14:val="tx1"/>
            </w14:solidFill>
          </w14:textFill>
        </w:rPr>
        <w:t>，</w:t>
      </w:r>
      <w:r>
        <w:rPr>
          <w:rFonts w:eastAsia="仿宋_GB2312"/>
          <w:color w:val="000000" w:themeColor="text1"/>
          <w:sz w:val="32"/>
          <w:szCs w:val="32"/>
          <w:lang w:bidi="ar"/>
          <w14:textFill>
            <w14:solidFill>
              <w14:schemeClr w14:val="tx1"/>
            </w14:solidFill>
          </w14:textFill>
        </w:rPr>
        <w:t>促进社会治理现代化具有重要意义。</w:t>
      </w:r>
    </w:p>
    <w:p>
      <w:pPr>
        <w:spacing w:line="580" w:lineRule="exact"/>
        <w:ind w:firstLine="640" w:firstLineChars="200"/>
        <w:textAlignment w:val="baseline"/>
        <w:rPr>
          <w:rFonts w:eastAsia="仿宋_GB2312"/>
          <w:color w:val="000000" w:themeColor="text1"/>
          <w:sz w:val="32"/>
          <w:szCs w:val="32"/>
          <w:lang w:bidi="ar"/>
          <w14:textFill>
            <w14:solidFill>
              <w14:schemeClr w14:val="tx1"/>
            </w14:solidFill>
          </w14:textFill>
        </w:rPr>
      </w:pPr>
    </w:p>
    <w:p>
      <w:pPr>
        <w:spacing w:line="580" w:lineRule="exact"/>
        <w:ind w:firstLine="640" w:firstLineChars="200"/>
        <w:textAlignment w:val="baseline"/>
        <w:rPr>
          <w:rFonts w:eastAsia="仿宋_GB2312"/>
          <w:color w:val="000000" w:themeColor="text1"/>
          <w:sz w:val="32"/>
          <w:szCs w:val="32"/>
          <w:lang w:bidi="ar"/>
          <w14:textFill>
            <w14:solidFill>
              <w14:schemeClr w14:val="tx1"/>
            </w14:solidFill>
          </w14:textFill>
        </w:rPr>
      </w:pPr>
    </w:p>
    <w:p>
      <w:pPr>
        <w:spacing w:line="580" w:lineRule="exact"/>
        <w:ind w:firstLine="640" w:firstLineChars="200"/>
        <w:textAlignment w:val="baseline"/>
        <w:rPr>
          <w:rFonts w:eastAsia="仿宋_GB2312"/>
          <w:color w:val="000000" w:themeColor="text1"/>
          <w:sz w:val="32"/>
          <w:szCs w:val="32"/>
          <w:lang w:bidi="ar"/>
          <w14:textFill>
            <w14:solidFill>
              <w14:schemeClr w14:val="tx1"/>
            </w14:solidFill>
          </w14:textFill>
        </w:rPr>
      </w:pPr>
    </w:p>
    <w:p>
      <w:pPr>
        <w:spacing w:line="580" w:lineRule="exact"/>
        <w:textAlignment w:val="baseline"/>
        <w:rPr>
          <w:rFonts w:eastAsia="仿宋_GB2312"/>
          <w:color w:val="000000" w:themeColor="text1"/>
          <w:sz w:val="32"/>
          <w:szCs w:val="32"/>
          <w:lang w:bidi="ar"/>
          <w14:textFill>
            <w14:solidFill>
              <w14:schemeClr w14:val="tx1"/>
            </w14:solidFill>
          </w14:textFill>
        </w:rPr>
      </w:pPr>
    </w:p>
    <w:p>
      <w:pPr>
        <w:spacing w:line="580" w:lineRule="exact"/>
        <w:textAlignment w:val="baseline"/>
        <w:rPr>
          <w:rFonts w:eastAsia="仿宋_GB2312"/>
          <w:color w:val="000000" w:themeColor="text1"/>
          <w:sz w:val="32"/>
          <w:szCs w:val="32"/>
          <w:lang w:bidi="ar"/>
          <w14:textFill>
            <w14:solidFill>
              <w14:schemeClr w14:val="tx1"/>
            </w14:solidFill>
          </w14:textFill>
        </w:rPr>
      </w:pPr>
    </w:p>
    <w:p>
      <w:pPr>
        <w:textAlignment w:val="baseline"/>
        <w:rPr>
          <w:rFonts w:eastAsia="仿宋_GB2312"/>
          <w:color w:val="000000" w:themeColor="text1"/>
          <w:sz w:val="32"/>
          <w:szCs w:val="32"/>
          <w:lang w:bidi="ar"/>
          <w14:textFill>
            <w14:solidFill>
              <w14:schemeClr w14:val="tx1"/>
            </w14:solidFill>
          </w14:textFill>
        </w:rPr>
      </w:pPr>
      <w:r>
        <w:rPr>
          <w:rFonts w:eastAsia="仿宋_GB2312"/>
          <w:color w:val="000000" w:themeColor="text1"/>
          <w:sz w:val="32"/>
          <w:szCs w:val="32"/>
          <w:lang w:bidi="ar"/>
          <w14:textFill>
            <w14:solidFill>
              <w14:schemeClr w14:val="tx1"/>
            </w14:solidFill>
          </w14:textFill>
        </w:rPr>
        <w:br w:type="textWrapping"/>
      </w:r>
    </w:p>
    <w:p>
      <w:pPr>
        <w:pStyle w:val="3"/>
        <w:rPr>
          <w:lang w:bidi="ar"/>
        </w:rPr>
      </w:pPr>
    </w:p>
    <w:p>
      <w:pPr>
        <w:pStyle w:val="3"/>
        <w:rPr>
          <w:rFonts w:hint="eastAsia"/>
          <w:lang w:bidi="ar"/>
        </w:rPr>
      </w:pPr>
    </w:p>
    <w:p>
      <w:pPr>
        <w:spacing w:line="580" w:lineRule="exact"/>
        <w:ind w:firstLine="640" w:firstLineChars="200"/>
        <w:jc w:val="both"/>
        <w:textAlignment w:val="baseline"/>
        <w:rPr>
          <w:sz w:val="20"/>
        </w:rPr>
      </w:pPr>
      <w:r>
        <w:rPr>
          <w:rFonts w:hint="eastAsia" w:ascii="Times New Roman" w:hAnsi="Times New Roman" w:eastAsia="仿宋_GB2312" w:cs="Times New Roman"/>
          <w:color w:val="000000" w:themeColor="text1"/>
          <w:sz w:val="32"/>
          <w:szCs w:val="32"/>
          <w14:textFill>
            <w14:solidFill>
              <w14:schemeClr w14:val="tx1"/>
            </w14:solidFill>
          </w14:textFill>
        </w:rPr>
        <w:t>深入推进质量强市、标准强市、品牌强市建设，是我市立足新发展阶段、贯彻新发展理念、构建新发展格局的关键举措。</w:t>
      </w:r>
      <w:r>
        <w:rPr>
          <w:rFonts w:ascii="Times New Roman" w:hAnsi="Times New Roman" w:eastAsia="仿宋_GB2312" w:cs="Times New Roman"/>
          <w:color w:val="000000" w:themeColor="text1"/>
          <w:sz w:val="32"/>
          <w:szCs w:val="32"/>
          <w14:textFill>
            <w14:solidFill>
              <w14:schemeClr w14:val="tx1"/>
            </w14:solidFill>
          </w14:textFill>
        </w:rPr>
        <w:t>依据</w:t>
      </w:r>
      <w:r>
        <w:rPr>
          <w:rFonts w:hint="eastAsia" w:ascii="Times New Roman" w:hAnsi="Times New Roman" w:eastAsia="仿宋_GB2312" w:cs="Times New Roman"/>
          <w:color w:val="000000" w:themeColor="text1"/>
          <w:sz w:val="32"/>
          <w:szCs w:val="32"/>
          <w14:textFill>
            <w14:solidFill>
              <w14:schemeClr w14:val="tx1"/>
            </w14:solidFill>
          </w14:textFill>
        </w:rPr>
        <w:t>《浙江省质量强省标准强省品牌强省第十四个五年规划》</w:t>
      </w:r>
      <w:r>
        <w:rPr>
          <w:rFonts w:ascii="Times New Roman" w:hAnsi="Times New Roman" w:eastAsia="仿宋_GB2312" w:cs="Times New Roman"/>
          <w:color w:val="000000" w:themeColor="text1"/>
          <w:sz w:val="32"/>
          <w:szCs w:val="32"/>
          <w14:textFill>
            <w14:solidFill>
              <w14:schemeClr w14:val="tx1"/>
            </w14:solidFill>
          </w14:textFill>
        </w:rPr>
        <w:t>《丽水市国民经济和社会发展第十四个五年规划和二〇三五年远景目标纲要》，制定本规划。规划期限为2021-2025年。</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4" w:name="_Toc65824878"/>
      <w:bookmarkStart w:id="5" w:name="_Toc79779423"/>
      <w:r>
        <w:rPr>
          <w:b w:val="0"/>
          <w:bCs w:val="0"/>
          <w:color w:val="000000" w:themeColor="text1"/>
          <w14:textFill>
            <w14:solidFill>
              <w14:schemeClr w14:val="tx1"/>
            </w14:solidFill>
          </w14:textFill>
        </w:rPr>
        <w:t>一、</w:t>
      </w:r>
      <w:bookmarkEnd w:id="4"/>
      <w:r>
        <w:rPr>
          <w:rFonts w:hint="eastAsia"/>
          <w:b w:val="0"/>
          <w:bCs w:val="0"/>
          <w:color w:val="000000" w:themeColor="text1"/>
          <w14:textFill>
            <w14:solidFill>
              <w14:schemeClr w14:val="tx1"/>
            </w14:solidFill>
          </w14:textFill>
        </w:rPr>
        <w:t>现实基础和发展背景</w:t>
      </w:r>
      <w:bookmarkEnd w:id="5"/>
    </w:p>
    <w:p>
      <w:pPr>
        <w:spacing w:line="580" w:lineRule="exact"/>
        <w:ind w:firstLine="640" w:firstLineChars="200"/>
        <w:textAlignment w:val="baseline"/>
        <w:rPr>
          <w:rFonts w:eastAsia="楷体_GB2312"/>
          <w:bCs/>
          <w:color w:val="000000" w:themeColor="text1"/>
          <w:sz w:val="32"/>
          <w:szCs w:val="32"/>
          <w14:textFill>
            <w14:solidFill>
              <w14:schemeClr w14:val="tx1"/>
            </w14:solidFill>
          </w14:textFill>
        </w:rPr>
      </w:pPr>
      <w:bookmarkStart w:id="6" w:name="_Toc79779424"/>
      <w:bookmarkStart w:id="7" w:name="_Toc65824879"/>
      <w:r>
        <w:rPr>
          <w:rFonts w:eastAsia="楷体_GB2312"/>
          <w:bCs/>
          <w:color w:val="000000" w:themeColor="text1"/>
          <w:sz w:val="32"/>
          <w:szCs w:val="32"/>
          <w14:textFill>
            <w14:solidFill>
              <w14:schemeClr w14:val="tx1"/>
            </w14:solidFill>
          </w14:textFill>
        </w:rPr>
        <w:t>（一）现实基础</w:t>
      </w:r>
      <w:bookmarkEnd w:id="6"/>
      <w:bookmarkEnd w:id="7"/>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质量发展指标持续提升。</w:t>
      </w:r>
      <w:r>
        <w:rPr>
          <w:rFonts w:hint="eastAsia" w:ascii="仿宋_GB2312" w:hAnsi="仿宋_GB2312" w:eastAsia="仿宋_GB2312" w:cs="仿宋_GB2312"/>
          <w:color w:val="000000" w:themeColor="text1"/>
          <w:sz w:val="32"/>
          <w:szCs w:val="32"/>
          <w14:textFill>
            <w14:solidFill>
              <w14:schemeClr w14:val="tx1"/>
            </w14:solidFill>
          </w14:textFill>
        </w:rPr>
        <w:t>“十三五”期间，我市质量工作连续五年获得省级质量工作考核A级好成绩；全市质量意识大幅度提高，质量理念深入推广，质量诚信体系进一步完善，质量共治基本形成。全市“品牌企业和浙江制造标准实施企业销售占比”高质量指标连年提升，达到40%的省定目标值。产品质量整体达到全省平均水平，“十三五”末工业产品省级监督抽查批次合格率达到96.8%，高端装备制造业产品质量达到省内先进水平。生态农产品、中药材等质量达到全省领先水平，食品、药品监督抽检问题处置率100%，农产品质量安全省级例行监测合格率达到99.55%，林产品质量安全省级例行监测达1784批次，合格率达到99.66%；食品生产经营主体纳入浙江省食品安全追溯闭环管理系统，实现溯源电子化管理。服务业品牌价值和效益大幅提升，成功创建1个5A级旅游景区（缙云仙都景区）；公共服务成效突出，2020年丽水市服务在国家质量监测总得分为81.31分，生态休闲养生（养老）、旅游、民宿、农村电商等领域的服务质量达到全省领先，在全国137个受评城市中排名第13位，全省第3位；2020年服务质量满意度为87.15分，服务质量满意度测评位居全省第六，服务业质量水平达到全省平均水平；交通服务（公交、客运）顾客满意度达96.2%，居民获得感不断增强。工程整体质量达到全省平均水平。工程质量终身责任制等三项制度覆盖率达到100%，新建民用建筑100%实施节能设计标准，竣工交付使用建筑工程一次验收合格率为100%，无重大工程质量事故发生，渗、裂、漏等质量疑难问题得到明显改善，工程质量投诉率持续下降；178个村列入省级美丽宜居示范村试点创建，数量位居全省第一。生态环境质量指数连续17年位居全省第一，生态环境质量公众满意度连续13年位居全省前列，全市空气质量指数（AQI）优良天数率达到98%以上，空气质量列全国168个排名城市第7位；城市地表水环境质量指数稳居全省首位，国考断面I-Ⅲ类水比例、跨行政区域河流交接断面出境水质达标率、县级以上集中式饮用水源地水质达标率均达100%，城市内河无劣Ⅴ类水；省级以上生态文明示范区创建比例达88.9%。</w:t>
      </w:r>
    </w:p>
    <w:p>
      <w:pPr>
        <w:spacing w:line="580" w:lineRule="exact"/>
        <w:ind w:firstLine="643" w:firstLineChars="200"/>
        <w:textAlignment w:val="baseline"/>
        <w:rPr>
          <w:rFonts w:ascii="仿宋_GB2312" w:hAnsi="仿宋_GB2312" w:eastAsia="仿宋_GB2312" w:cs="仿宋_GB2312"/>
          <w:bCs/>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标准化水平明显提高。</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十三五</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期间，深化标准化工作改革，全面完成国家标准化综合改革试点省中相关的各项目标任务。</w:t>
      </w:r>
      <w:r>
        <w:rPr>
          <w:rFonts w:hint="eastAsia" w:ascii="仿宋_GB2312" w:hAnsi="仿宋_GB2312" w:eastAsia="仿宋_GB2312" w:cs="仿宋_GB2312"/>
          <w:color w:val="000000" w:themeColor="text1"/>
          <w:sz w:val="32"/>
          <w:szCs w:val="32"/>
          <w14:textFill>
            <w14:solidFill>
              <w14:schemeClr w14:val="tx1"/>
            </w14:solidFill>
          </w14:textFill>
        </w:rPr>
        <w:t>在全省率先将标准化工作纳入政府对部门的重点工作考核，并推动各县（市、区）将标准化建设成效纳入县委县政府对部门、乡镇的考核。</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全市主导和参与制修订国家标准95项，行业标准87项，省地方标准25项，市地方标准136项，“浙江制造”团体标准67项。创新开展“百大标准”创制行动，制定</w:t>
      </w:r>
      <w:r>
        <w:rPr>
          <w:rFonts w:hint="eastAsia" w:ascii="仿宋_GB2312" w:hAnsi="仿宋_GB2312" w:eastAsia="仿宋_GB2312" w:cs="仿宋_GB2312"/>
          <w:color w:val="000000" w:themeColor="text1"/>
          <w:sz w:val="32"/>
          <w:szCs w:val="32"/>
          <w14:textFill>
            <w14:solidFill>
              <w14:schemeClr w14:val="tx1"/>
            </w14:solidFill>
          </w14:textFill>
        </w:rPr>
        <w:t>医疗、养老、大数据、应急救援、国家公园等地方特色的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市级地方标准117项，制订特色生态农业地方标准64项，农业标准化生产程度达66.8%。</w:t>
      </w:r>
      <w:r>
        <w:rPr>
          <w:rFonts w:hint="eastAsia" w:ascii="仿宋_GB2312" w:hAnsi="仿宋_GB2312" w:eastAsia="仿宋_GB2312" w:cs="仿宋_GB2312"/>
          <w:color w:val="000000" w:themeColor="text1"/>
          <w:sz w:val="32"/>
          <w:szCs w:val="32"/>
          <w14:textFill>
            <w14:solidFill>
              <w14:schemeClr w14:val="tx1"/>
            </w14:solidFill>
          </w14:textFill>
        </w:rPr>
        <w:t>新增国家级标准化试点项目7项；新增省级标准化试点项目11项，其中生态产品价值实现机制改革试点和农村金融改革试点2项工作成功列入省级标准化重大战略试点项目；新增市级标准化试点项目29项。开展标准化培训15期，培训标准化人员2000余人次。</w:t>
      </w:r>
      <w:r>
        <w:rPr>
          <w:rFonts w:hint="eastAsia" w:ascii="仿宋_GB2312" w:hAnsi="仿宋_GB2312" w:eastAsia="仿宋_GB2312" w:cs="仿宋_GB2312"/>
          <w:bCs/>
          <w:color w:val="000000" w:themeColor="text1"/>
          <w:sz w:val="32"/>
          <w:szCs w:val="32"/>
          <w14:textFill>
            <w14:solidFill>
              <w14:schemeClr w14:val="tx1"/>
            </w14:solidFill>
          </w14:textFill>
        </w:rPr>
        <w:t>全市累计有1003家企业自我声明5327项标准,涵</w:t>
      </w:r>
      <w:r>
        <w:rPr>
          <w:rFonts w:hint="eastAsia" w:ascii="仿宋_GB2312" w:hAnsi="仿宋_GB2312" w:eastAsia="仿宋_GB2312" w:cs="仿宋_GB2312"/>
          <w:color w:val="000000" w:themeColor="text1"/>
          <w:sz w:val="32"/>
          <w:szCs w:val="32"/>
          <w14:textFill>
            <w14:solidFill>
              <w14:schemeClr w14:val="tx1"/>
            </w14:solidFill>
          </w14:textFill>
        </w:rPr>
        <w:t>盖7266种产品，其中36.5%以上达到国内领先水平，27.6%以上达到国际先进水平；规模以上工业企业主导产品采用国际标准与国外先进标准达67.3%。</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品牌发展战略不断推进。</w:t>
      </w:r>
      <w:r>
        <w:rPr>
          <w:rFonts w:hint="eastAsia" w:ascii="仿宋_GB2312" w:hAnsi="仿宋_GB2312" w:eastAsia="仿宋_GB2312" w:cs="仿宋_GB2312"/>
          <w:color w:val="000000" w:themeColor="text1"/>
          <w:sz w:val="32"/>
          <w:szCs w:val="32"/>
          <w14:textFill>
            <w14:solidFill>
              <w14:schemeClr w14:val="tx1"/>
            </w14:solidFill>
          </w14:textFill>
        </w:rPr>
        <w:t>“十三五”期间，成立“丽水山耕”国际认证联盟，累计发布“丽水山耕”标准52项，认证企业139家，颁发认证证书182张。“丽水山耕”连续三年获评中国区域农业品牌影响力排行榜——区域农业形象品牌（地级市）类别第一位。召开首届中国民宿区域公用品牌大会暨“丽水山居”民宿服务标准发布会，有效提升产品旅游附加值，旅游业总收入从2015年末的426.02亿元上升到2020年的655.99亿元。通过“品字标浙江制造”品牌认证企业30家，通过“品字标浙江农产”品牌认证企业4家，青田县顺利通过“浙江制造”品牌创建示范县验收。新增实施卓越绩效管理模式企业153家，评选丽水市政府质量奖企业6家。创建省、市名牌产品116个。新增地理标准证明商标12件，累计拥有地理标志商标36件，位列全省第一，“庆元香菇”“遂昌竹炭”列入中欧地理标志互认互保产品清单。工程品牌不断创优，“十三五”期间共获得 “中国建设工程鲁班奖”2项，“钱江杯”30项，省级文明标化工地111个，“九龙杯”优质工程奖161项。</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质量技术基础不断夯实</w:t>
      </w:r>
      <w:r>
        <w:rPr>
          <w:rFonts w:hint="eastAsia" w:eastAsia="仿宋_GB2312"/>
          <w:b/>
          <w:bCs/>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 xml:space="preserve">持续推进全市量传溯源体系建设，新建社会公用计量标准66项，全市共建立社会公用计量标准205项。能源计量能力持续提升，全市重点用能单位能源计量器具配备达标率达98％以上。民生计量监管能力不断加强，全市民用三表（电表、燃气表、水表）到期检定更换率分别达100%，96.98%，98.41%；对停车计时计费装置、市场内称重计量器具实施强制检定，强检率在98%以上；对医用三源（x光机、B超机、CT及）、血压计、心脑电图仪等计量器具强检率达100%。全力推进认证认可、检验检测综合改革，拥有省级产品质量检验中心7家，质量基础设施“一站式”服务平台6个，为产业链、创新链提供有力支撑。全市共有各类检验检测机构103家，涵盖食品、药品、产品质量、工程、环境等多个领域，检验检测认证行业市场化、专业化、品牌化、国际化发展初见成效。 </w:t>
      </w:r>
    </w:p>
    <w:p>
      <w:pPr>
        <w:spacing w:line="580" w:lineRule="exact"/>
        <w:ind w:firstLine="643" w:firstLineChars="200"/>
        <w:textAlignment w:val="baseline"/>
        <w:rPr>
          <w:rFonts w:hint="eastAsia" w:ascii="仿宋_GB2312" w:hAnsi="仿宋_GB2312" w:eastAsia="仿宋_GB2312" w:cs="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知识产权支撑能力逐步显现</w:t>
      </w:r>
      <w:r>
        <w:rPr>
          <w:rFonts w:eastAsia="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十三五”期间，积极探索知识产权激发多样性发展的路线路径，提升知识产权创造能力和运用水平，全市专利申请和授权量为45244件和35721件，年增长率分别达92.23%和103.50%，每万人有效发明专利拥有量达8.95件，同比增长160.17%；注册商标新增37005件，商标注册数达62607件，同比增长</w:t>
      </w:r>
      <w:r>
        <w:rPr>
          <w:rFonts w:hint="eastAsia" w:ascii="仿宋_GB2312" w:hAnsi="仿宋_GB2312" w:eastAsia="仿宋_GB2312" w:cs="仿宋_GB2312"/>
          <w:color w:val="111F2C"/>
          <w:sz w:val="32"/>
          <w:szCs w:val="32"/>
        </w:rPr>
        <w:t>144.54%，新增集体商标24件</w:t>
      </w:r>
      <w:r>
        <w:rPr>
          <w:rFonts w:hint="eastAsia" w:ascii="仿宋_GB2312" w:hAnsi="仿宋_GB2312" w:eastAsia="仿宋_GB2312" w:cs="仿宋_GB2312"/>
          <w:color w:val="000000" w:themeColor="text1"/>
          <w:sz w:val="32"/>
          <w:szCs w:val="32"/>
          <w14:textFill>
            <w14:solidFill>
              <w14:schemeClr w14:val="tx1"/>
            </w14:solidFill>
          </w14:textFill>
        </w:rPr>
        <w:t>；知识产权质押融资20.04亿元。知识产权保护力度加大，地方知识产权侵权现象逐步减少。</w:t>
      </w:r>
    </w:p>
    <w:p>
      <w:pPr>
        <w:spacing w:line="580" w:lineRule="exact"/>
        <w:ind w:firstLine="640" w:firstLineChars="200"/>
        <w:textAlignment w:val="baseline"/>
        <w:rPr>
          <w:rFonts w:hint="eastAsia"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“十三五”期间，质量强市、标准强市、品牌强市建设取得突出成效</w:t>
      </w:r>
      <w:r>
        <w:rPr>
          <w:rFonts w:hint="eastAsia" w:eastAsia="仿宋_GB2312"/>
          <w:color w:val="000000" w:themeColor="text1"/>
          <w:sz w:val="32"/>
          <w:szCs w:val="32"/>
          <w14:textFill>
            <w14:solidFill>
              <w14:schemeClr w14:val="tx1"/>
            </w14:solidFill>
          </w14:textFill>
        </w:rPr>
        <w:t>（详见表1），</w:t>
      </w:r>
      <w:r>
        <w:rPr>
          <w:rFonts w:eastAsia="仿宋_GB2312"/>
          <w:color w:val="000000" w:themeColor="text1"/>
          <w:sz w:val="32"/>
          <w:szCs w:val="32"/>
          <w14:textFill>
            <w14:solidFill>
              <w14:schemeClr w14:val="tx1"/>
            </w14:solidFill>
          </w14:textFill>
        </w:rPr>
        <w:t>但质量</w:t>
      </w:r>
      <w:r>
        <w:rPr>
          <w:rFonts w:hint="eastAsia" w:eastAsia="仿宋_GB2312"/>
          <w:color w:val="000000" w:themeColor="text1"/>
          <w:sz w:val="32"/>
          <w:szCs w:val="32"/>
          <w14:textFill>
            <w14:solidFill>
              <w14:schemeClr w14:val="tx1"/>
            </w14:solidFill>
          </w14:textFill>
        </w:rPr>
        <w:t>发展</w:t>
      </w:r>
      <w:r>
        <w:rPr>
          <w:rFonts w:eastAsia="仿宋_GB2312"/>
          <w:color w:val="000000" w:themeColor="text1"/>
          <w:sz w:val="32"/>
          <w:szCs w:val="32"/>
          <w14:textFill>
            <w14:solidFill>
              <w14:schemeClr w14:val="tx1"/>
            </w14:solidFill>
          </w14:textFill>
        </w:rPr>
        <w:t>和人民对美好生活需求不相适应的情况仍较突出，</w:t>
      </w:r>
      <w:r>
        <w:rPr>
          <w:rFonts w:hint="eastAsia" w:eastAsia="仿宋_GB2312"/>
          <w:color w:val="000000" w:themeColor="text1"/>
          <w:sz w:val="32"/>
          <w:szCs w:val="32"/>
          <w14:textFill>
            <w14:solidFill>
              <w14:schemeClr w14:val="tx1"/>
            </w14:solidFill>
          </w14:textFill>
        </w:rPr>
        <w:t>主要表现在</w:t>
      </w:r>
      <w:r>
        <w:rPr>
          <w:rFonts w:eastAsia="仿宋_GB2312"/>
          <w:color w:val="000000" w:themeColor="text1"/>
          <w:sz w:val="32"/>
          <w:szCs w:val="32"/>
          <w14:textFill>
            <w14:solidFill>
              <w14:schemeClr w14:val="tx1"/>
            </w14:solidFill>
          </w14:textFill>
        </w:rPr>
        <w:t>：一是高端产业</w:t>
      </w:r>
      <w:r>
        <w:rPr>
          <w:rFonts w:hint="eastAsia" w:eastAsia="仿宋_GB2312"/>
          <w:color w:val="000000" w:themeColor="text1"/>
          <w:sz w:val="32"/>
          <w:szCs w:val="32"/>
          <w14:textFill>
            <w14:solidFill>
              <w14:schemeClr w14:val="tx1"/>
            </w14:solidFill>
          </w14:textFill>
        </w:rPr>
        <w:t>未形成</w:t>
      </w:r>
      <w:r>
        <w:rPr>
          <w:rFonts w:eastAsia="仿宋_GB2312"/>
          <w:color w:val="000000" w:themeColor="text1"/>
          <w:sz w:val="32"/>
          <w:szCs w:val="32"/>
          <w14:textFill>
            <w14:solidFill>
              <w14:schemeClr w14:val="tx1"/>
            </w14:solidFill>
          </w14:textFill>
        </w:rPr>
        <w:t>品牌优势，先进的质量方法、精益制造、卓越绩效应用较少，数字化产业</w:t>
      </w:r>
      <w:r>
        <w:rPr>
          <w:rFonts w:hint="eastAsia" w:eastAsia="仿宋_GB2312"/>
          <w:color w:val="000000" w:themeColor="text1"/>
          <w:sz w:val="32"/>
          <w:szCs w:val="32"/>
          <w14:textFill>
            <w14:solidFill>
              <w14:schemeClr w14:val="tx1"/>
            </w14:solidFill>
          </w14:textFill>
        </w:rPr>
        <w:t>体量不够，</w:t>
      </w:r>
      <w:r>
        <w:rPr>
          <w:rFonts w:eastAsia="仿宋_GB2312"/>
          <w:color w:val="000000" w:themeColor="text1"/>
          <w:sz w:val="32"/>
          <w:szCs w:val="32"/>
          <w14:textFill>
            <w14:solidFill>
              <w14:schemeClr w14:val="tx1"/>
            </w14:solidFill>
          </w14:textFill>
        </w:rPr>
        <w:t>产业数字化能力</w:t>
      </w:r>
      <w:r>
        <w:rPr>
          <w:rFonts w:hint="eastAsia" w:eastAsia="仿宋_GB2312"/>
          <w:color w:val="000000" w:themeColor="text1"/>
          <w:sz w:val="32"/>
          <w:szCs w:val="32"/>
          <w14:textFill>
            <w14:solidFill>
              <w14:schemeClr w14:val="tx1"/>
            </w14:solidFill>
          </w14:textFill>
        </w:rPr>
        <w:t>不强</w:t>
      </w:r>
      <w:r>
        <w:rPr>
          <w:rFonts w:eastAsia="仿宋_GB2312"/>
          <w:color w:val="000000" w:themeColor="text1"/>
          <w:sz w:val="32"/>
          <w:szCs w:val="32"/>
          <w14:textFill>
            <w14:solidFill>
              <w14:schemeClr w14:val="tx1"/>
            </w14:solidFill>
          </w14:textFill>
        </w:rPr>
        <w:t>。二是绿色发展不够系统，生态优势向经济优势转化的通道尚未完全打开，生态资源向财产性收入的体制机制供给不足，亟需在政策支持、组织协调、区域合作、标准规范等方面探索实践，建立与绿色发展相适应的体制机制。三是标准国际化能力不强。</w:t>
      </w:r>
      <w:r>
        <w:rPr>
          <w:rFonts w:hint="eastAsia" w:eastAsia="仿宋_GB2312"/>
          <w:color w:val="000000" w:themeColor="text1"/>
          <w:sz w:val="32"/>
          <w:szCs w:val="32"/>
          <w14:textFill>
            <w14:solidFill>
              <w14:schemeClr w14:val="tx1"/>
            </w14:solidFill>
          </w14:textFill>
        </w:rPr>
        <w:t>结合丽水区域特色和自然禀赋，在农业、工业对标、采标，城市可持续发展等方面仍有较大提升空间。</w:t>
      </w:r>
    </w:p>
    <w:p>
      <w:pPr>
        <w:spacing w:line="240" w:lineRule="auto"/>
        <w:jc w:val="center"/>
        <w:textAlignment w:val="baseline"/>
        <w:rPr>
          <w:rFonts w:ascii="Times New Roman" w:hAnsi="Times New Roman" w:eastAsia="楷体_GB2312" w:cs="Times New Roman"/>
          <w:b/>
          <w:color w:val="000000" w:themeColor="text1"/>
          <w:sz w:val="28"/>
          <w:szCs w:val="28"/>
          <w14:textFill>
            <w14:solidFill>
              <w14:schemeClr w14:val="tx1"/>
            </w14:solidFill>
          </w14:textFill>
        </w:rPr>
      </w:pPr>
      <w:r>
        <w:rPr>
          <w:rFonts w:hint="eastAsia" w:ascii="Times New Roman" w:hAnsi="Times New Roman" w:eastAsia="楷体_GB2312" w:cs="Times New Roman"/>
          <w:b/>
          <w:color w:val="000000" w:themeColor="text1"/>
          <w:sz w:val="28"/>
          <w:szCs w:val="28"/>
          <w14:textFill>
            <w14:solidFill>
              <w14:schemeClr w14:val="tx1"/>
            </w14:solidFill>
          </w14:textFill>
        </w:rPr>
        <w:t>表1：“十三五”主要指标完成情况表</w:t>
      </w:r>
    </w:p>
    <w:tbl>
      <w:tblPr>
        <w:tblStyle w:val="19"/>
        <w:tblW w:w="10305" w:type="dxa"/>
        <w:jc w:val="center"/>
        <w:tblLayout w:type="fixed"/>
        <w:tblCellMar>
          <w:top w:w="0" w:type="dxa"/>
          <w:left w:w="108" w:type="dxa"/>
          <w:bottom w:w="0" w:type="dxa"/>
          <w:right w:w="108" w:type="dxa"/>
        </w:tblCellMar>
      </w:tblPr>
      <w:tblGrid>
        <w:gridCol w:w="795"/>
        <w:gridCol w:w="5101"/>
        <w:gridCol w:w="1215"/>
        <w:gridCol w:w="1665"/>
        <w:gridCol w:w="1529"/>
      </w:tblGrid>
      <w:tr>
        <w:tblPrEx>
          <w:tblCellMar>
            <w:top w:w="0" w:type="dxa"/>
            <w:left w:w="108" w:type="dxa"/>
            <w:bottom w:w="0" w:type="dxa"/>
            <w:right w:w="108" w:type="dxa"/>
          </w:tblCellMar>
        </w:tblPrEx>
        <w:trPr>
          <w:trHeight w:val="612"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b/>
                <w:color w:val="000000"/>
                <w:lang w:eastAsia="zh-CN"/>
              </w:rPr>
            </w:pPr>
            <w:r>
              <w:rPr>
                <w:rFonts w:hint="eastAsia" w:ascii="仿宋_GB2312" w:hAnsi="仿宋_GB2312" w:eastAsia="仿宋_GB2312" w:cs="仿宋_GB2312"/>
                <w:b/>
                <w:color w:val="000000"/>
                <w:lang w:eastAsia="zh-CN"/>
              </w:rPr>
              <w:t>序号</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b/>
                <w:color w:val="000000"/>
              </w:rPr>
            </w:pPr>
            <w:r>
              <w:rPr>
                <w:rFonts w:hint="eastAsia" w:ascii="仿宋_GB2312" w:hAnsi="仿宋_GB2312" w:eastAsia="仿宋_GB2312" w:cs="仿宋_GB2312"/>
                <w:b/>
                <w:color w:val="000000"/>
                <w:lang w:bidi="ar"/>
              </w:rPr>
              <w:t>指标名称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b/>
                <w:color w:val="000000"/>
              </w:rPr>
            </w:pPr>
            <w:r>
              <w:rPr>
                <w:rFonts w:hint="eastAsia" w:ascii="仿宋_GB2312" w:hAnsi="仿宋_GB2312" w:eastAsia="仿宋_GB2312" w:cs="仿宋_GB2312"/>
                <w:b/>
                <w:color w:val="000000"/>
                <w:lang w:bidi="ar"/>
              </w:rPr>
              <w:t>单位</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color w:val="000000"/>
                <w:lang w:bidi="ar"/>
              </w:rPr>
            </w:pPr>
            <w:r>
              <w:rPr>
                <w:rFonts w:hint="eastAsia" w:ascii="仿宋_GB2312" w:hAnsi="仿宋_GB2312" w:eastAsia="仿宋_GB2312" w:cs="仿宋_GB2312"/>
                <w:b/>
                <w:color w:val="000000"/>
                <w:lang w:eastAsia="zh-CN" w:bidi="ar"/>
              </w:rPr>
              <w:t>“十三五”</w:t>
            </w:r>
            <w:r>
              <w:rPr>
                <w:rFonts w:hint="eastAsia" w:ascii="仿宋_GB2312" w:hAnsi="仿宋_GB2312" w:eastAsia="仿宋_GB2312" w:cs="仿宋_GB2312"/>
                <w:b/>
                <w:color w:val="000000"/>
                <w:lang w:bidi="ar"/>
              </w:rPr>
              <w:t>末</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lang w:eastAsia="zh-CN" w:bidi="ar"/>
              </w:rPr>
            </w:pPr>
            <w:r>
              <w:rPr>
                <w:rFonts w:hint="eastAsia" w:ascii="仿宋_GB2312" w:hAnsi="仿宋_GB2312" w:eastAsia="仿宋_GB2312" w:cs="仿宋_GB2312"/>
                <w:b/>
                <w:color w:val="000000"/>
                <w:lang w:eastAsia="zh-CN" w:bidi="ar"/>
              </w:rPr>
              <w:t>目标值</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b/>
                <w:color w:val="000000"/>
                <w:lang w:eastAsia="zh-CN" w:bidi="ar"/>
              </w:rPr>
            </w:pPr>
            <w:r>
              <w:rPr>
                <w:rFonts w:hint="eastAsia" w:ascii="仿宋_GB2312" w:hAnsi="仿宋_GB2312" w:eastAsia="仿宋_GB2312" w:cs="仿宋_GB2312"/>
                <w:b/>
                <w:color w:val="000000"/>
                <w:lang w:eastAsia="zh-CN" w:bidi="ar"/>
              </w:rPr>
              <w:t>完成情况</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工业产品省级监督抽查批次合格率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95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96.8</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食品、药品监督抽检问题处置率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3</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农产品质量安全省级例行监测合格率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98</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99.55</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4</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林产品质量安全省级例行监测批次/合格率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批次/%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1250/97</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1784/99.66</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5</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创建5A级旅游景区数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6</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服务质量满意度</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87.15</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7</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交通服务（公交、客运）顾客满意度</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85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96.2</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8</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工程质量终身责任制三项制度覆盖率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9</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新建民用建筑</w:t>
            </w:r>
            <w:r>
              <w:rPr>
                <w:rStyle w:val="30"/>
                <w:rFonts w:hint="eastAsia" w:hAnsi="仿宋_GB2312"/>
                <w:sz w:val="24"/>
                <w:szCs w:val="24"/>
                <w:lang w:bidi="ar"/>
              </w:rPr>
              <w:t>实施节能设计标准占比</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10</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竣工交付使用建筑工程一次验收合格率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11</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全市空气质量指数（AQI）优良天数率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90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98</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12</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国考断面I-Ⅲ类水比例</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98</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13</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城市饮用水源地水质达标率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100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14</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省级以上生态文明示范区创建比例</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80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88.9</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15</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主导或参与制定的国家、行业标准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50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182</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16</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主导或参与制定省、市地方标准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161</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17</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制定“浙江制造”标准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20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67</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18</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制订特色生态农业地方标准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50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64</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19</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农业标准化生产程度</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65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66.8</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20</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创建国家级、省级标准化试点项目</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18</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21</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创建省级重大标准战略试点项目</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2</w:t>
            </w:r>
          </w:p>
        </w:tc>
      </w:tr>
      <w:tr>
        <w:tblPrEx>
          <w:tblCellMar>
            <w:top w:w="0" w:type="dxa"/>
            <w:left w:w="108" w:type="dxa"/>
            <w:bottom w:w="0" w:type="dxa"/>
            <w:right w:w="108" w:type="dxa"/>
          </w:tblCellMar>
        </w:tblPrEx>
        <w:trPr>
          <w:trHeight w:val="682"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22</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规模以上工业企业主导产品采用国际标准与国外先进标准比率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65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67.3</w:t>
            </w:r>
          </w:p>
        </w:tc>
      </w:tr>
      <w:tr>
        <w:tblPrEx>
          <w:tblCellMar>
            <w:top w:w="0" w:type="dxa"/>
            <w:left w:w="108" w:type="dxa"/>
            <w:bottom w:w="0" w:type="dxa"/>
            <w:right w:w="108" w:type="dxa"/>
          </w:tblCellMar>
        </w:tblPrEx>
        <w:trPr>
          <w:trHeight w:val="682"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23</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00" w:lineRule="exact"/>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企业自我声明的产品标准达到国内领先水平占比/达到国际先进水平占比</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35/20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36.5/27.6</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24</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rPr>
              <w:t>丽水山耕认证企业数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rPr>
            </w:pPr>
            <w:r>
              <w:rPr>
                <w:rFonts w:hint="eastAsia" w:ascii="仿宋_GB2312" w:hAnsi="仿宋_GB2312" w:eastAsia="仿宋_GB2312" w:cs="仿宋_GB2312"/>
                <w:color w:val="000000"/>
              </w:rPr>
              <w:t>139</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25</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“品字标浙江制造”企业数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30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26</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新增实施卓越绩效管理模式企业</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153</w:t>
            </w:r>
          </w:p>
        </w:tc>
      </w:tr>
      <w:tr>
        <w:tblPrEx>
          <w:tblCellMar>
            <w:top w:w="0" w:type="dxa"/>
            <w:left w:w="108" w:type="dxa"/>
            <w:bottom w:w="0" w:type="dxa"/>
            <w:right w:w="108" w:type="dxa"/>
          </w:tblCellMar>
        </w:tblPrEx>
        <w:trPr>
          <w:trHeight w:val="63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27</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市政府质量奖企业数（2018-2020年未评奖）</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w:t>
            </w:r>
          </w:p>
        </w:tc>
      </w:tr>
      <w:tr>
        <w:tblPrEx>
          <w:tblCellMar>
            <w:top w:w="0" w:type="dxa"/>
            <w:left w:w="108" w:type="dxa"/>
            <w:bottom w:w="0" w:type="dxa"/>
            <w:right w:w="108" w:type="dxa"/>
          </w:tblCellMar>
        </w:tblPrEx>
        <w:trPr>
          <w:trHeight w:val="70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28</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创建省、市名牌数（2018年后不再评选名牌产品）</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150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116</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29</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新增地理标志证明商标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件</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12</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rPr>
            </w:pPr>
            <w:r>
              <w:rPr>
                <w:rFonts w:hint="eastAsia" w:ascii="仿宋_GB2312" w:hAnsi="仿宋_GB2312" w:eastAsia="仿宋_GB2312" w:cs="仿宋_GB2312"/>
                <w:color w:val="000000"/>
                <w:lang w:val="en-US" w:eastAsia="zh-CN"/>
              </w:rPr>
              <w:t>30</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新增中国建设工程鲁班奖/钱江杯</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2/30</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31</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新增省级文明标化工地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个</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111</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32</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评选“九龙杯”优质工程奖</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lang w:bidi="ar"/>
              </w:rPr>
            </w:pPr>
            <w:r>
              <w:rPr>
                <w:rFonts w:hint="eastAsia" w:ascii="仿宋_GB2312" w:hAnsi="仿宋_GB2312" w:eastAsia="仿宋_GB2312" w:cs="仿宋_GB2312"/>
                <w:color w:val="000000"/>
                <w:lang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161</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33</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新建社会公用计量标准</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项</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45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66</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34</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lang w:bidi="ar"/>
              </w:rPr>
              <w:t>每万人有效发明专利拥有量</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00" w:lineRule="exact"/>
              <w:jc w:val="center"/>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件/万人</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00" w:lineRule="exact"/>
              <w:jc w:val="center"/>
              <w:textAlignment w:val="baseline"/>
              <w:rPr>
                <w:rFonts w:ascii="仿宋_GB2312" w:hAnsi="仿宋_GB2312" w:eastAsia="仿宋_GB2312" w:cs="仿宋_GB2312"/>
                <w:color w:val="000000"/>
              </w:rPr>
            </w:pPr>
            <w:r>
              <w:rPr>
                <w:rFonts w:hint="eastAsia" w:ascii="仿宋_GB2312" w:hAnsi="仿宋_GB2312" w:eastAsia="仿宋_GB2312" w:cs="仿宋_GB2312"/>
                <w:color w:val="000000" w:themeColor="text1"/>
                <w14:textFill>
                  <w14:solidFill>
                    <w14:schemeClr w14:val="tx1"/>
                  </w14:solidFill>
                </w14:textFill>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8.95</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35</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注册商标新增数/累计数</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件</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10000/36000</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37005/62607</w:t>
            </w:r>
          </w:p>
        </w:tc>
      </w:tr>
      <w:tr>
        <w:tblPrEx>
          <w:tblCellMar>
            <w:top w:w="0" w:type="dxa"/>
            <w:left w:w="108" w:type="dxa"/>
            <w:bottom w:w="0" w:type="dxa"/>
            <w:right w:w="108" w:type="dxa"/>
          </w:tblCellMar>
        </w:tblPrEx>
        <w:trPr>
          <w:trHeight w:val="567" w:hRule="exac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default" w:ascii="仿宋_GB2312" w:hAnsi="仿宋_GB2312" w:eastAsia="仿宋_GB2312" w:cs="仿宋_GB2312"/>
                <w:color w:val="000000"/>
                <w:lang w:val="en-US" w:eastAsia="zh-CN" w:bidi="ar"/>
              </w:rPr>
            </w:pPr>
            <w:r>
              <w:rPr>
                <w:rFonts w:hint="eastAsia" w:ascii="仿宋_GB2312" w:hAnsi="仿宋_GB2312" w:eastAsia="仿宋_GB2312" w:cs="仿宋_GB2312"/>
                <w:color w:val="000000"/>
                <w:lang w:val="en-US" w:eastAsia="zh-CN" w:bidi="ar"/>
              </w:rPr>
              <w:t>36</w:t>
            </w:r>
          </w:p>
        </w:tc>
        <w:tc>
          <w:tcPr>
            <w:tcW w:w="51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新增集体商标</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件</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仿宋_GB2312" w:hAnsi="仿宋_GB2312" w:eastAsia="仿宋_GB2312" w:cs="仿宋_GB2312"/>
                <w:color w:val="000000"/>
              </w:rPr>
            </w:pPr>
            <w:r>
              <w:rPr>
                <w:rFonts w:hint="eastAsia" w:ascii="仿宋_GB2312" w:hAnsi="仿宋_GB2312" w:eastAsia="仿宋_GB2312" w:cs="仿宋_GB2312"/>
                <w:color w:val="000000"/>
                <w:lang w:bidi="ar"/>
              </w:rPr>
              <w:t>5</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仿宋_GB2312" w:hAnsi="仿宋_GB2312" w:eastAsia="仿宋_GB2312" w:cs="仿宋_GB2312"/>
                <w:color w:val="000000"/>
                <w:lang w:bidi="ar"/>
              </w:rPr>
            </w:pPr>
            <w:r>
              <w:rPr>
                <w:rFonts w:hint="eastAsia" w:ascii="仿宋_GB2312" w:hAnsi="仿宋_GB2312" w:eastAsia="仿宋_GB2312" w:cs="仿宋_GB2312"/>
                <w:color w:val="000000"/>
                <w:lang w:bidi="ar"/>
              </w:rPr>
              <w:t>24</w:t>
            </w:r>
          </w:p>
        </w:tc>
      </w:tr>
    </w:tbl>
    <w:p>
      <w:pPr>
        <w:spacing w:line="580" w:lineRule="exact"/>
        <w:ind w:firstLine="640" w:firstLineChars="200"/>
        <w:textAlignment w:val="baseline"/>
        <w:rPr>
          <w:rFonts w:eastAsia="楷体_GB2312"/>
          <w:bCs/>
          <w:color w:val="000000" w:themeColor="text1"/>
          <w:sz w:val="32"/>
          <w:szCs w:val="32"/>
          <w14:textFill>
            <w14:solidFill>
              <w14:schemeClr w14:val="tx1"/>
            </w14:solidFill>
          </w14:textFill>
        </w:rPr>
      </w:pPr>
      <w:bookmarkStart w:id="8" w:name="_Toc79779425"/>
      <w:r>
        <w:rPr>
          <w:rFonts w:hint="eastAsia" w:eastAsia="楷体_GB2312"/>
          <w:bCs/>
          <w:color w:val="000000" w:themeColor="text1"/>
          <w:sz w:val="32"/>
          <w:szCs w:val="32"/>
          <w14:textFill>
            <w14:solidFill>
              <w14:schemeClr w14:val="tx1"/>
            </w14:solidFill>
          </w14:textFill>
        </w:rPr>
        <w:t>（二）</w:t>
      </w:r>
      <w:r>
        <w:rPr>
          <w:rFonts w:eastAsia="楷体_GB2312"/>
          <w:bCs/>
          <w:color w:val="000000" w:themeColor="text1"/>
          <w:sz w:val="32"/>
          <w:szCs w:val="32"/>
          <w14:textFill>
            <w14:solidFill>
              <w14:schemeClr w14:val="tx1"/>
            </w14:solidFill>
          </w14:textFill>
        </w:rPr>
        <w:t>发展背景</w:t>
      </w:r>
      <w:bookmarkEnd w:id="8"/>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从国际看，当今世界正经历百年未有之大变局，科技和产业革命深入发展，新冷战格局不可避免，经济逆全球化思潮抬头，不稳定性不确定性明显增强。实施质量、标准、品牌战略，是新国际形势下实现中华民族伟大复兴的基础。</w:t>
      </w:r>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从国内看，我国已经进入新发展阶段，构建新发展格局对质量、标准、品牌建设提出更高要求。人民日益增长的美好生活需要必须坚定不移地走质量引领的发展的道路。</w:t>
      </w:r>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从省内看，我省忠实践行“八八战略”、奋力打造“重要窗口”，争创社会主义现代化先行省，“重要窗口”的新目标新定位要求大力推动质量变革、标准变革、品牌变革。</w:t>
      </w:r>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我市发展正处于大有可为而且必须大有作为的战略机遇期，是国家实施新时代支持革命老区振兴发展战略和全省实施加快山区跨越式发展战略的重点地区，高质量绿色发展态势向好。“生态是最大优势、发展是最重任务”，只有坚持质量第一，以品牌的力量激发新的增长动力，以高质量供给创造更多市场需求，以标准提档、品牌增效融入和引领价值链重塑，才能更好更快推进全市迈入质量时代。</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9" w:name="_Toc79779426"/>
      <w:r>
        <w:rPr>
          <w:b w:val="0"/>
          <w:bCs w:val="0"/>
          <w:color w:val="000000" w:themeColor="text1"/>
          <w14:textFill>
            <w14:solidFill>
              <w14:schemeClr w14:val="tx1"/>
            </w14:solidFill>
          </w14:textFill>
        </w:rPr>
        <w:t>二、总体思路和发展目标</w:t>
      </w:r>
      <w:bookmarkEnd w:id="9"/>
    </w:p>
    <w:p>
      <w:pPr>
        <w:spacing w:line="580" w:lineRule="exact"/>
        <w:ind w:firstLine="640" w:firstLineChars="200"/>
        <w:textAlignment w:val="baseline"/>
        <w:rPr>
          <w:rFonts w:eastAsia="楷体_GB2312"/>
          <w:bCs/>
          <w:color w:val="000000" w:themeColor="text1"/>
          <w:sz w:val="32"/>
          <w:szCs w:val="32"/>
          <w14:textFill>
            <w14:solidFill>
              <w14:schemeClr w14:val="tx1"/>
            </w14:solidFill>
          </w14:textFill>
        </w:rPr>
      </w:pPr>
      <w:bookmarkStart w:id="10" w:name="_Toc79779427"/>
      <w:r>
        <w:rPr>
          <w:rFonts w:eastAsia="楷体_GB2312"/>
          <w:bCs/>
          <w:color w:val="000000" w:themeColor="text1"/>
          <w:sz w:val="32"/>
          <w:szCs w:val="32"/>
          <w14:textFill>
            <w14:solidFill>
              <w14:schemeClr w14:val="tx1"/>
            </w14:solidFill>
          </w14:textFill>
        </w:rPr>
        <w:t>（一）指导思想</w:t>
      </w:r>
      <w:bookmarkEnd w:id="10"/>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坚持以习近平新时代中国特色社会主义思想为指导，深入贯彻党的十九大和十九届二中、三中、四中、五中全会以及省委十四届八次全会精神，坚决落实习近平总书记“绿色青山就是金山银山</w:t>
      </w:r>
      <w:r>
        <w:rPr>
          <w:rFonts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的发展理念和“质量第一”“质量强国”重要指示精神，</w:t>
      </w:r>
      <w:r>
        <w:rPr>
          <w:rFonts w:hint="eastAsia" w:eastAsia="仿宋_GB2312"/>
          <w:color w:val="000000" w:themeColor="text1"/>
          <w:sz w:val="32"/>
          <w:szCs w:val="32"/>
          <w:lang w:eastAsia="zh-CN"/>
          <w14:textFill>
            <w14:solidFill>
              <w14:schemeClr w14:val="tx1"/>
            </w14:solidFill>
          </w14:textFill>
        </w:rPr>
        <w:t>贯彻实施《</w:t>
      </w:r>
      <w:r>
        <w:rPr>
          <w:rFonts w:eastAsia="仿宋_GB2312"/>
          <w:color w:val="000000" w:themeColor="text1"/>
          <w:sz w:val="32"/>
          <w:szCs w:val="32"/>
          <w14:textFill>
            <w14:solidFill>
              <w14:schemeClr w14:val="tx1"/>
            </w14:solidFill>
          </w14:textFill>
        </w:rPr>
        <w:t>国家标准化发展纲要</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14:textFill>
            <w14:solidFill>
              <w14:schemeClr w14:val="tx1"/>
            </w14:solidFill>
          </w14:textFill>
        </w:rPr>
        <w:t>忠实践行“八八战略”，</w:t>
      </w:r>
      <w:r>
        <w:rPr>
          <w:rFonts w:eastAsia="仿宋_GB2312"/>
          <w:color w:val="000000" w:themeColor="text1"/>
          <w:sz w:val="32"/>
          <w:szCs w:val="32"/>
          <w14:textFill>
            <w14:solidFill>
              <w14:schemeClr w14:val="tx1"/>
            </w14:solidFill>
          </w14:textFill>
        </w:rPr>
        <w:t>奋力打造“高水平建设和高质量发展重要窗口”。推进“三位一体”融合发展，实现“四大领域”协同提质，建立“五大支撑”平台统筹，夯实“四大步骤”质量监管，实施“</w:t>
      </w:r>
      <w:r>
        <w:rPr>
          <w:rFonts w:hint="eastAsia" w:eastAsia="仿宋_GB2312"/>
          <w:color w:val="000000" w:themeColor="text1"/>
          <w:sz w:val="32"/>
          <w:szCs w:val="32"/>
          <w14:textFill>
            <w14:solidFill>
              <w14:schemeClr w14:val="tx1"/>
            </w14:solidFill>
          </w14:textFill>
        </w:rPr>
        <w:t>四</w:t>
      </w:r>
      <w:r>
        <w:rPr>
          <w:rFonts w:eastAsia="仿宋_GB2312"/>
          <w:color w:val="000000" w:themeColor="text1"/>
          <w:sz w:val="32"/>
          <w:szCs w:val="32"/>
          <w14:textFill>
            <w14:solidFill>
              <w14:schemeClr w14:val="tx1"/>
            </w14:solidFill>
          </w14:textFill>
        </w:rPr>
        <w:t>大保障”精准发力。坚定不移推进高质量发展，加快</w:t>
      </w:r>
      <w:r>
        <w:rPr>
          <w:rFonts w:hint="eastAsia" w:eastAsia="仿宋_GB2312"/>
          <w:color w:val="000000" w:themeColor="text1"/>
          <w:sz w:val="32"/>
          <w:szCs w:val="32"/>
          <w14:textFill>
            <w14:solidFill>
              <w14:schemeClr w14:val="tx1"/>
            </w14:solidFill>
          </w14:textFill>
        </w:rPr>
        <w:t>质量治理体系和治理能力现代化建</w:t>
      </w:r>
      <w:r>
        <w:rPr>
          <w:rFonts w:eastAsia="仿宋_GB2312"/>
          <w:color w:val="000000" w:themeColor="text1"/>
          <w:sz w:val="32"/>
          <w:szCs w:val="32"/>
          <w14:textFill>
            <w14:solidFill>
              <w14:schemeClr w14:val="tx1"/>
            </w14:solidFill>
          </w14:textFill>
        </w:rPr>
        <w:t>设</w:t>
      </w:r>
      <w:r>
        <w:rPr>
          <w:rFonts w:hint="eastAsia" w:eastAsia="仿宋_GB2312"/>
          <w:color w:val="000000" w:themeColor="text1"/>
          <w:sz w:val="32"/>
          <w:szCs w:val="32"/>
          <w14:textFill>
            <w14:solidFill>
              <w14:schemeClr w14:val="tx1"/>
            </w14:solidFill>
          </w14:textFill>
        </w:rPr>
        <w:t>，助力建成</w:t>
      </w:r>
      <w:r>
        <w:rPr>
          <w:rFonts w:eastAsia="仿宋_GB2312"/>
          <w:color w:val="000000" w:themeColor="text1"/>
          <w:sz w:val="32"/>
          <w:szCs w:val="32"/>
          <w14:textFill>
            <w14:solidFill>
              <w14:schemeClr w14:val="tx1"/>
            </w14:solidFill>
          </w14:textFill>
        </w:rPr>
        <w:t>现代化生态经济体系，</w:t>
      </w:r>
      <w:r>
        <w:rPr>
          <w:rFonts w:hint="eastAsia" w:eastAsia="仿宋_GB2312"/>
          <w:color w:val="000000" w:themeColor="text1"/>
          <w:sz w:val="32"/>
          <w:szCs w:val="32"/>
          <w14:textFill>
            <w14:solidFill>
              <w14:schemeClr w14:val="tx1"/>
            </w14:solidFill>
          </w14:textFill>
        </w:rPr>
        <w:t>全面</w:t>
      </w:r>
      <w:r>
        <w:rPr>
          <w:rFonts w:eastAsia="仿宋_GB2312"/>
          <w:color w:val="000000" w:themeColor="text1"/>
          <w:sz w:val="32"/>
          <w:szCs w:val="32"/>
          <w:lang w:bidi="ar"/>
          <w14:textFill>
            <w14:solidFill>
              <w14:schemeClr w14:val="tx1"/>
            </w14:solidFill>
          </w14:textFill>
        </w:rPr>
        <w:t>推进市域治理现代化，促进全市人民走向共同富裕。</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——“三位一体”融合发展。系统推进质量、标准、品牌融合，高标准引领高质量，高质量打造知名品牌。</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——“四大领域”协同提质。协同推进产品、服务、建设、环境四大质量全面提升。</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——“五大支撑”平台统筹。加强标准、计量、检验检测、认证认可和知识产权等质量基础设施建设，促进质量能力提升。</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“四大步骤”质量监管</w:t>
      </w:r>
      <w:r>
        <w:rPr>
          <w:rFonts w:hint="eastAsia" w:eastAsia="仿宋_GB2312"/>
          <w:color w:val="000000" w:themeColor="text1"/>
          <w:sz w:val="32"/>
          <w:szCs w:val="32"/>
          <w14:textFill>
            <w14:solidFill>
              <w14:schemeClr w14:val="tx1"/>
            </w14:solidFill>
          </w14:textFill>
        </w:rPr>
        <w:t>。提升监管能力、健全监管机制、构建防范体系、筑牢安全底线，以最严要求坚守质量安全底线。</w:t>
      </w:r>
    </w:p>
    <w:p>
      <w:pPr>
        <w:pStyle w:val="9"/>
        <w:ind w:firstLine="640"/>
        <w:textAlignment w:val="baseline"/>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四</w:t>
      </w:r>
      <w:r>
        <w:rPr>
          <w:rFonts w:eastAsia="仿宋_GB2312"/>
          <w:color w:val="000000" w:themeColor="text1"/>
          <w:sz w:val="32"/>
          <w:szCs w:val="32"/>
          <w14:textFill>
            <w14:solidFill>
              <w14:schemeClr w14:val="tx1"/>
            </w14:solidFill>
          </w14:textFill>
        </w:rPr>
        <w:t>大保障”精准发力</w:t>
      </w:r>
      <w:r>
        <w:rPr>
          <w:rFonts w:hint="eastAsia" w:eastAsia="仿宋_GB2312"/>
          <w:color w:val="000000" w:themeColor="text1"/>
          <w:sz w:val="32"/>
          <w:szCs w:val="32"/>
          <w14:textFill>
            <w14:solidFill>
              <w14:schemeClr w14:val="tx1"/>
            </w14:solidFill>
          </w14:textFill>
        </w:rPr>
        <w:t>。深化组织保障、政策保障、人才保障，强化规划实施，全力支持高质量发展。</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11" w:name="_Toc79779428"/>
      <w:r>
        <w:rPr>
          <w:rFonts w:ascii="Times New Roman" w:hAnsi="Times New Roman" w:eastAsia="楷体_GB2312" w:cs="Times New Roman"/>
          <w:b w:val="0"/>
          <w:color w:val="000000" w:themeColor="text1"/>
          <w14:textFill>
            <w14:solidFill>
              <w14:schemeClr w14:val="tx1"/>
            </w14:solidFill>
          </w14:textFill>
        </w:rPr>
        <w:t>（二）基本原则</w:t>
      </w:r>
      <w:bookmarkEnd w:id="11"/>
    </w:p>
    <w:p>
      <w:pPr>
        <w:pStyle w:val="9"/>
        <w:ind w:firstLine="640"/>
        <w:textAlignment w:val="baseline"/>
      </w:pPr>
      <w:r>
        <w:rPr>
          <w:rFonts w:hint="eastAsia" w:eastAsia="仿宋_GB2312"/>
          <w:b/>
          <w:bCs/>
          <w:color w:val="000000" w:themeColor="text1"/>
          <w:sz w:val="32"/>
          <w:szCs w:val="32"/>
          <w14:textFill>
            <w14:solidFill>
              <w14:schemeClr w14:val="tx1"/>
            </w14:solidFill>
          </w14:textFill>
        </w:rPr>
        <w:t>坚持高质量提升，创</w:t>
      </w:r>
      <w:r>
        <w:rPr>
          <w:rFonts w:eastAsia="仿宋_GB2312"/>
          <w:b/>
          <w:bCs/>
          <w:color w:val="000000" w:themeColor="text1"/>
          <w:sz w:val="32"/>
          <w:szCs w:val="32"/>
          <w14:textFill>
            <w14:solidFill>
              <w14:schemeClr w14:val="tx1"/>
            </w14:solidFill>
          </w14:textFill>
        </w:rPr>
        <w:t>新</w:t>
      </w:r>
      <w:r>
        <w:rPr>
          <w:rFonts w:hint="eastAsia" w:eastAsia="仿宋_GB2312"/>
          <w:b/>
          <w:bCs/>
          <w:color w:val="000000" w:themeColor="text1"/>
          <w:sz w:val="32"/>
          <w:szCs w:val="32"/>
          <w14:textFill>
            <w14:solidFill>
              <w14:schemeClr w14:val="tx1"/>
            </w14:solidFill>
          </w14:textFill>
        </w:rPr>
        <w:t>发展</w:t>
      </w:r>
      <w:r>
        <w:rPr>
          <w:rFonts w:eastAsia="仿宋_GB2312"/>
          <w:b/>
          <w:bCs/>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把高质量发展作为核心目标，鼓励技术创新和管理创新，实施数字化改革，系统推进“四大领域”协同提升，构建系统集成、协同高效的质量治理体系，全面提升经济质效和核心竞争力，实现经济中高速发展，实现治理体系和治理能力现代化。</w:t>
      </w:r>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坚持高标准引领，绿色发展</w:t>
      </w:r>
      <w:r>
        <w:rPr>
          <w:rFonts w:eastAsia="仿宋_GB2312"/>
          <w:b/>
          <w:bCs/>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对标</w:t>
      </w:r>
      <w:r>
        <w:rPr>
          <w:rFonts w:hint="eastAsia" w:eastAsia="仿宋_GB2312"/>
          <w:color w:val="000000" w:themeColor="text1"/>
          <w:sz w:val="32"/>
          <w:szCs w:val="32"/>
          <w14:textFill>
            <w14:solidFill>
              <w14:schemeClr w14:val="tx1"/>
            </w14:solidFill>
          </w14:textFill>
        </w:rPr>
        <w:t>先进</w:t>
      </w:r>
      <w:r>
        <w:rPr>
          <w:rFonts w:eastAsia="仿宋_GB2312"/>
          <w:color w:val="000000" w:themeColor="text1"/>
          <w:sz w:val="32"/>
          <w:szCs w:val="32"/>
          <w14:textFill>
            <w14:solidFill>
              <w14:schemeClr w14:val="tx1"/>
            </w14:solidFill>
          </w14:textFill>
        </w:rPr>
        <w:t>，牢固树立人与自然和谐相处理念，</w:t>
      </w:r>
      <w:r>
        <w:rPr>
          <w:rFonts w:hint="eastAsia" w:eastAsia="仿宋_GB2312"/>
          <w:color w:val="000000" w:themeColor="text1"/>
          <w:sz w:val="32"/>
          <w:szCs w:val="32"/>
          <w14:textFill>
            <w14:solidFill>
              <w14:schemeClr w14:val="tx1"/>
            </w14:solidFill>
          </w14:textFill>
        </w:rPr>
        <w:t>全面推进大花园标准体系建设。</w:t>
      </w:r>
      <w:r>
        <w:rPr>
          <w:rFonts w:eastAsia="仿宋_GB2312"/>
          <w:color w:val="000000" w:themeColor="text1"/>
          <w:sz w:val="32"/>
          <w:szCs w:val="32"/>
          <w14:textFill>
            <w14:solidFill>
              <w14:schemeClr w14:val="tx1"/>
            </w14:solidFill>
          </w14:textFill>
        </w:rPr>
        <w:t>发扬</w:t>
      </w:r>
      <w:r>
        <w:rPr>
          <w:rFonts w:hint="eastAsia" w:eastAsia="仿宋_GB2312"/>
          <w:color w:val="000000" w:themeColor="text1"/>
          <w:sz w:val="32"/>
          <w:szCs w:val="32"/>
          <w14:textFill>
            <w14:solidFill>
              <w14:schemeClr w14:val="tx1"/>
            </w14:solidFill>
          </w14:textFill>
        </w:rPr>
        <w:t>丽水</w:t>
      </w:r>
      <w:r>
        <w:rPr>
          <w:rFonts w:eastAsia="仿宋_GB2312"/>
          <w:color w:val="000000" w:themeColor="text1"/>
          <w:sz w:val="32"/>
          <w:szCs w:val="32"/>
          <w14:textFill>
            <w14:solidFill>
              <w14:schemeClr w14:val="tx1"/>
            </w14:solidFill>
          </w14:textFill>
        </w:rPr>
        <w:t>绿色</w:t>
      </w:r>
      <w:r>
        <w:rPr>
          <w:rFonts w:hint="eastAsia" w:eastAsia="仿宋_GB2312"/>
          <w:color w:val="000000" w:themeColor="text1"/>
          <w:sz w:val="32"/>
          <w:szCs w:val="32"/>
          <w14:textFill>
            <w14:solidFill>
              <w14:schemeClr w14:val="tx1"/>
            </w14:solidFill>
          </w14:textFill>
        </w:rPr>
        <w:t>资源</w:t>
      </w:r>
      <w:r>
        <w:rPr>
          <w:rFonts w:eastAsia="仿宋_GB2312"/>
          <w:color w:val="000000" w:themeColor="text1"/>
          <w:sz w:val="32"/>
          <w:szCs w:val="32"/>
          <w14:textFill>
            <w14:solidFill>
              <w14:schemeClr w14:val="tx1"/>
            </w14:solidFill>
          </w14:textFill>
        </w:rPr>
        <w:t>优势，加快构建绿色产业</w:t>
      </w:r>
      <w:r>
        <w:rPr>
          <w:rFonts w:hint="eastAsia" w:eastAsia="仿宋_GB2312"/>
          <w:color w:val="000000" w:themeColor="text1"/>
          <w:sz w:val="32"/>
          <w:szCs w:val="32"/>
          <w14:textFill>
            <w14:solidFill>
              <w14:schemeClr w14:val="tx1"/>
            </w14:solidFill>
          </w14:textFill>
        </w:rPr>
        <w:t>标准</w:t>
      </w:r>
      <w:r>
        <w:rPr>
          <w:rFonts w:eastAsia="仿宋_GB2312"/>
          <w:color w:val="000000" w:themeColor="text1"/>
          <w:sz w:val="32"/>
          <w:szCs w:val="32"/>
          <w14:textFill>
            <w14:solidFill>
              <w14:schemeClr w14:val="tx1"/>
            </w14:solidFill>
          </w14:textFill>
        </w:rPr>
        <w:t>体系，前瞻布局、超前谋划支撑未来</w:t>
      </w:r>
      <w:r>
        <w:rPr>
          <w:rFonts w:hint="eastAsia" w:eastAsia="仿宋_GB2312"/>
          <w:color w:val="000000" w:themeColor="text1"/>
          <w:sz w:val="32"/>
          <w:szCs w:val="32"/>
          <w14:textFill>
            <w14:solidFill>
              <w14:schemeClr w14:val="tx1"/>
            </w14:solidFill>
          </w14:textFill>
        </w:rPr>
        <w:t>绿色</w:t>
      </w:r>
      <w:r>
        <w:rPr>
          <w:rFonts w:eastAsia="仿宋_GB2312"/>
          <w:color w:val="000000" w:themeColor="text1"/>
          <w:sz w:val="32"/>
          <w:szCs w:val="32"/>
          <w14:textFill>
            <w14:solidFill>
              <w14:schemeClr w14:val="tx1"/>
            </w14:solidFill>
          </w14:textFill>
        </w:rPr>
        <w:t>发展的新技术、新业态、新模式，拔高“绿水青山就是金山银山”新标准</w:t>
      </w:r>
      <w:r>
        <w:rPr>
          <w:rFonts w:hint="eastAsia" w:eastAsia="仿宋_GB2312"/>
          <w:color w:val="000000" w:themeColor="text1"/>
          <w:sz w:val="32"/>
          <w:szCs w:val="32"/>
          <w14:textFill>
            <w14:solidFill>
              <w14:schemeClr w14:val="tx1"/>
            </w14:solidFill>
          </w14:textFill>
        </w:rPr>
        <w:t>，建成国内国际有影响力的绿色发展“重要窗口”。</w:t>
      </w:r>
    </w:p>
    <w:p>
      <w:pPr>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坚持名品牌带动，共享发展。</w:t>
      </w:r>
      <w:r>
        <w:rPr>
          <w:rFonts w:hint="eastAsia" w:eastAsia="仿宋_GB2312"/>
          <w:color w:val="000000" w:themeColor="text1"/>
          <w:sz w:val="32"/>
          <w:szCs w:val="32"/>
          <w14:textFill>
            <w14:solidFill>
              <w14:schemeClr w14:val="tx1"/>
            </w14:solidFill>
          </w14:textFill>
        </w:rPr>
        <w:t>大力培育企业自主品牌、产业集群品牌、区域公共品牌，不断提升丽水品牌国际影响力和美誉度。</w:t>
      </w:r>
      <w:r>
        <w:rPr>
          <w:rFonts w:eastAsia="仿宋_GB2312"/>
          <w:color w:val="000000" w:themeColor="text1"/>
          <w:sz w:val="32"/>
          <w:szCs w:val="32"/>
          <w14:textFill>
            <w14:solidFill>
              <w14:schemeClr w14:val="tx1"/>
            </w14:solidFill>
          </w14:textFill>
        </w:rPr>
        <w:t>牢牢把握“顺应民心、改善民生”的发展本质，</w:t>
      </w:r>
      <w:r>
        <w:rPr>
          <w:rFonts w:hint="eastAsia" w:eastAsia="仿宋_GB2312"/>
          <w:color w:val="000000" w:themeColor="text1"/>
          <w:sz w:val="32"/>
          <w:szCs w:val="32"/>
          <w14:textFill>
            <w14:solidFill>
              <w14:schemeClr w14:val="tx1"/>
            </w14:solidFill>
          </w14:textFill>
        </w:rPr>
        <w:t>打造高质量发展高品质生活先行区、城乡区域协调发展引领区、文明和谐美好家园展示区，</w:t>
      </w:r>
      <w:r>
        <w:rPr>
          <w:rFonts w:eastAsia="仿宋_GB2312"/>
          <w:color w:val="000000" w:themeColor="text1"/>
          <w:sz w:val="32"/>
          <w:szCs w:val="32"/>
          <w14:textFill>
            <w14:solidFill>
              <w14:schemeClr w14:val="tx1"/>
            </w14:solidFill>
          </w14:textFill>
        </w:rPr>
        <w:t>让质量和标准化事业发展成果惠及全体人民</w:t>
      </w:r>
      <w:r>
        <w:rPr>
          <w:rFonts w:hint="eastAsia" w:eastAsia="仿宋_GB2312"/>
          <w:color w:val="000000" w:themeColor="text1"/>
          <w:sz w:val="32"/>
          <w:szCs w:val="32"/>
          <w14:textFill>
            <w14:solidFill>
              <w14:schemeClr w14:val="tx1"/>
            </w14:solidFill>
          </w14:textFill>
        </w:rPr>
        <w:t>，实现共同富裕</w:t>
      </w:r>
      <w:r>
        <w:rPr>
          <w:rFonts w:eastAsia="仿宋_GB2312"/>
          <w:color w:val="000000" w:themeColor="text1"/>
          <w:sz w:val="32"/>
          <w:szCs w:val="32"/>
          <w14:textFill>
            <w14:solidFill>
              <w14:schemeClr w14:val="tx1"/>
            </w14:solidFill>
          </w14:textFill>
        </w:rPr>
        <w:t>。</w:t>
      </w:r>
      <w:bookmarkStart w:id="12" w:name="_Toc79779429"/>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（三）发展目标</w:t>
      </w:r>
      <w:bookmarkEnd w:id="12"/>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建设“质量强市”，努力开创质量窗口。</w:t>
      </w:r>
      <w:r>
        <w:rPr>
          <w:rFonts w:hint="eastAsia" w:ascii="仿宋_GB2312" w:hAnsi="仿宋_GB2312" w:eastAsia="仿宋_GB2312" w:cs="仿宋_GB2312"/>
          <w:color w:val="000000" w:themeColor="text1"/>
          <w:sz w:val="32"/>
          <w:szCs w:val="32"/>
          <w14:textFill>
            <w14:solidFill>
              <w14:schemeClr w14:val="tx1"/>
            </w14:solidFill>
          </w14:textFill>
        </w:rPr>
        <w:t>建立协同共享的社会化质量共治共促体系，建立“质量基础”一站式服务平台，健全全社会统一的质量信用平台，企业质量管理水平进一步提升，消费者和公众的质量满意度显著提高，总体质量达到全省先进水平，在“浙江制造”、重大工程等领域达到国内先进水平。发展壮大五大产业集群，培育形成半导体标志性产业链10条，培育县（市、区）百亿级“新星”产业集群10个以上。制造业产品质量合格率达到97%，规上工业新产品产值率达到37%，农产品质量安全省级例行监测合格率达到99%，有效期内绿色食品达300个，农产品地理标志达24个，社会公共计量标准达286个，服务质量满意度达到89分，累计创鲁班奖、国家优质工程奖、詹天佑奖等国家级奖4项，</w:t>
      </w:r>
      <w:r>
        <w:rPr>
          <w:rFonts w:hint="eastAsia" w:ascii="仿宋_GB2312" w:hAnsi="仿宋_GB2312" w:eastAsia="仿宋_GB2312" w:cs="仿宋_GB2312"/>
          <w:sz w:val="32"/>
          <w:szCs w:val="32"/>
        </w:rPr>
        <w:t>设区城市空气质量优良天数比例达到96%</w:t>
      </w:r>
      <w:r>
        <w:rPr>
          <w:rFonts w:hint="eastAsia" w:ascii="仿宋_GB2312" w:hAnsi="仿宋_GB2312" w:eastAsia="仿宋_GB2312" w:cs="仿宋_GB2312"/>
          <w:color w:val="000000" w:themeColor="text1"/>
          <w:sz w:val="32"/>
          <w:szCs w:val="32"/>
          <w14:textFill>
            <w14:solidFill>
              <w14:schemeClr w14:val="tx1"/>
            </w14:solidFill>
          </w14:textFill>
        </w:rPr>
        <w:t>，地表水市控以上断面优于III类比例达到100%，县以上城市集中式饮用水源地水质达标率达到100%。</w:t>
      </w:r>
    </w:p>
    <w:p>
      <w:pPr>
        <w:shd w:val="clear" w:color="auto" w:fill="FFFFFF" w:themeFill="background1"/>
        <w:spacing w:line="580" w:lineRule="exact"/>
        <w:ind w:firstLine="643" w:firstLineChars="200"/>
        <w:textAlignment w:val="baseline"/>
        <w:rPr>
          <w:rFonts w:ascii="仿宋_GB2312" w:hAnsi="仿宋_GB2312" w:eastAsia="仿宋_GB2312" w:cs="仿宋_GB2312"/>
          <w:b/>
          <w:bCs/>
          <w:color w:val="000000" w:themeColor="text1"/>
          <w:sz w:val="32"/>
          <w:szCs w:val="32"/>
          <w:highlight w:val="yellow"/>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建设“标准强市”，努力开创标准窗口。</w:t>
      </w:r>
      <w:r>
        <w:rPr>
          <w:rFonts w:hint="eastAsia" w:ascii="仿宋_GB2312" w:hAnsi="仿宋_GB2312" w:eastAsia="仿宋_GB2312" w:cs="仿宋_GB2312"/>
          <w:color w:val="000000" w:themeColor="text1"/>
          <w:sz w:val="32"/>
          <w:szCs w:val="32"/>
          <w14:textFill>
            <w14:solidFill>
              <w14:schemeClr w14:val="tx1"/>
            </w14:solidFill>
          </w14:textFill>
        </w:rPr>
        <w:t>标准化管理体制和运行机制基本完善，标准体系构架更加科学健全，标准引领成果进一步显著，市场主体标准创新意识明显增强，标准国际化能力迅速提升。大花园标准体系全面建成，政府和市场二元标准供给互为补充，量质齐升。到2025年末，累计主导和参与制订国际标准5项、国家标准180项、行业标准200项、省级地方标准60项、“浙江制造”团体标准120项。新增“企业标准领跑者”企业5家，争取省标准创新贡献奖1家，评选市级标准创新贡献奖6家；</w:t>
      </w:r>
      <w:r>
        <w:rPr>
          <w:rFonts w:hint="eastAsia" w:ascii="仿宋_GB2312" w:hAnsi="仿宋_GB2312" w:eastAsia="仿宋_GB2312" w:cs="仿宋_GB2312"/>
          <w:color w:val="000000" w:themeColor="text1"/>
          <w:sz w:val="32"/>
          <w:szCs w:val="32"/>
          <w:shd w:val="clear" w:color="auto" w:fill="FFFFFF" w:themeFill="background1"/>
          <w14:textFill>
            <w14:solidFill>
              <w14:schemeClr w14:val="tx1"/>
            </w14:solidFill>
          </w14:textFill>
        </w:rPr>
        <w:t>翻译出版“丽水山耕”、“丽水山居”、“丽水山景”标准，</w:t>
      </w:r>
      <w:r>
        <w:rPr>
          <w:rFonts w:hint="eastAsia" w:ascii="仿宋_GB2312" w:hAnsi="仿宋_GB2312" w:eastAsia="仿宋_GB2312" w:cs="仿宋_GB2312"/>
          <w:color w:val="000000" w:themeColor="text1"/>
          <w:sz w:val="32"/>
          <w:szCs w:val="32"/>
          <w14:textFill>
            <w14:solidFill>
              <w14:schemeClr w14:val="tx1"/>
            </w14:solidFill>
          </w14:textFill>
        </w:rPr>
        <w:t>争取标准国际化试点单位5家，示范单位1家。累计创建农业、服务业和社会治理国家级和省级标准化试点275项。</w:t>
      </w:r>
    </w:p>
    <w:p>
      <w:pPr>
        <w:spacing w:line="580" w:lineRule="exact"/>
        <w:ind w:firstLine="643" w:firstLineChars="200"/>
        <w:jc w:val="center"/>
        <w:textAlignment w:val="baseline"/>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建设“品牌强市”，努力开创品牌窗口。</w:t>
      </w:r>
      <w:r>
        <w:rPr>
          <w:rFonts w:hint="eastAsia" w:ascii="仿宋_GB2312" w:hAnsi="仿宋_GB2312" w:eastAsia="仿宋_GB2312" w:cs="仿宋_GB2312"/>
          <w:color w:val="000000" w:themeColor="text1"/>
          <w:sz w:val="32"/>
          <w:szCs w:val="32"/>
          <w14:textFill>
            <w14:solidFill>
              <w14:schemeClr w14:val="tx1"/>
            </w14:solidFill>
          </w14:textFill>
        </w:rPr>
        <w:t>建立起较为完善的品牌培育、发展与保护机制，构建“企业品牌、集群品牌、区域品牌”的品牌发展体系，产业转型升级和消费结构升级在更高水平获得支撑。培育一批标准领先、品质卓越的“浙江制造”品牌和丽水“山”系品牌，到2025年末，“品字标浙江制造”品牌企业累计70家以上。全市绿色产品认证证书累计5张以上；累计“品字标丽水山耕”品牌企业250家，“丽水山居”商标授权使用民宿数3500家；累计浙江出口名牌16个。9县（市、区）城区全部创成旅游景区城，全市旅游景区镇达到130个，旅游景区村达到1000个，形成“一户一处景、一村一幅画、一镇一天地、一城一风光”的全域大美格局；累计国内有效商标注册数11万件，累计地理标志数55件，累计马德里商标国际注册数150件。</w:t>
      </w:r>
    </w:p>
    <w:p>
      <w:pPr>
        <w:spacing w:line="580" w:lineRule="exact"/>
        <w:ind w:firstLine="562" w:firstLineChars="200"/>
        <w:jc w:val="center"/>
        <w:textAlignment w:val="baseline"/>
        <w:rPr>
          <w:rFonts w:eastAsia="楷体_GB2312"/>
          <w:b/>
          <w:sz w:val="28"/>
          <w:szCs w:val="28"/>
        </w:rPr>
      </w:pPr>
      <w:r>
        <w:rPr>
          <w:rFonts w:eastAsia="楷体_GB2312"/>
          <w:b/>
          <w:sz w:val="28"/>
          <w:szCs w:val="28"/>
        </w:rPr>
        <w:t>表2</w:t>
      </w:r>
      <w:r>
        <w:rPr>
          <w:rFonts w:hint="eastAsia" w:eastAsia="楷体_GB2312"/>
          <w:b/>
          <w:sz w:val="28"/>
          <w:szCs w:val="28"/>
        </w:rPr>
        <w:t>：</w:t>
      </w:r>
      <w:r>
        <w:rPr>
          <w:rFonts w:eastAsia="楷体_GB2312"/>
          <w:b/>
          <w:sz w:val="28"/>
          <w:szCs w:val="28"/>
        </w:rPr>
        <w:t>“十四五”</w:t>
      </w:r>
      <w:r>
        <w:rPr>
          <w:rFonts w:hint="eastAsia" w:eastAsia="楷体_GB2312"/>
          <w:b/>
          <w:sz w:val="28"/>
          <w:szCs w:val="28"/>
        </w:rPr>
        <w:t>规划</w:t>
      </w:r>
      <w:r>
        <w:rPr>
          <w:rFonts w:eastAsia="楷体_GB2312"/>
          <w:b/>
          <w:sz w:val="28"/>
          <w:szCs w:val="28"/>
        </w:rPr>
        <w:t>主要指标</w:t>
      </w:r>
    </w:p>
    <w:tbl>
      <w:tblPr>
        <w:tblStyle w:val="20"/>
        <w:tblW w:w="10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885"/>
        <w:gridCol w:w="5190"/>
        <w:gridCol w:w="1315"/>
        <w:gridCol w:w="1275"/>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Cs w:val="21"/>
                <w:lang w:val="en-US" w:eastAsia="zh-CN"/>
                <w14:textFill>
                  <w14:solidFill>
                    <w14:schemeClr w14:val="tx1"/>
                  </w14:solidFill>
                </w14:textFill>
              </w:rPr>
              <w:t>序号</w:t>
            </w:r>
          </w:p>
        </w:tc>
        <w:tc>
          <w:tcPr>
            <w:tcW w:w="885" w:type="dxa"/>
            <w:vAlign w:val="center"/>
          </w:tcPr>
          <w:p>
            <w:pPr>
              <w:spacing w:line="360" w:lineRule="exact"/>
              <w:jc w:val="center"/>
              <w:textAlignment w:val="baseline"/>
              <w:rPr>
                <w:rFonts w:ascii="仿宋_GB2312" w:hAnsi="仿宋_GB2312" w:eastAsia="仿宋_GB2312" w:cs="仿宋_GB2312"/>
                <w:b/>
                <w:bCs/>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类别</w:t>
            </w:r>
          </w:p>
        </w:tc>
        <w:tc>
          <w:tcPr>
            <w:tcW w:w="5190" w:type="dxa"/>
            <w:vAlign w:val="center"/>
          </w:tcPr>
          <w:p>
            <w:pPr>
              <w:spacing w:line="360" w:lineRule="exact"/>
              <w:jc w:val="center"/>
              <w:textAlignment w:val="baseline"/>
              <w:rPr>
                <w:rFonts w:ascii="仿宋_GB2312" w:hAnsi="仿宋_GB2312" w:eastAsia="仿宋_GB2312" w:cs="仿宋_GB2312"/>
                <w:b/>
                <w:bCs/>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指标名称</w:t>
            </w:r>
          </w:p>
        </w:tc>
        <w:tc>
          <w:tcPr>
            <w:tcW w:w="1315" w:type="dxa"/>
            <w:vAlign w:val="center"/>
          </w:tcPr>
          <w:p>
            <w:pPr>
              <w:snapToGrid w:val="0"/>
              <w:spacing w:line="360" w:lineRule="exact"/>
              <w:jc w:val="center"/>
              <w:textAlignment w:val="baseline"/>
              <w:rPr>
                <w:rFonts w:ascii="仿宋_GB2312" w:hAnsi="仿宋_GB2312" w:eastAsia="仿宋_GB2312" w:cs="仿宋_GB2312"/>
                <w:b/>
                <w:bCs/>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单位</w:t>
            </w:r>
          </w:p>
        </w:tc>
        <w:tc>
          <w:tcPr>
            <w:tcW w:w="1275" w:type="dxa"/>
            <w:vAlign w:val="center"/>
          </w:tcPr>
          <w:p>
            <w:pPr>
              <w:snapToGrid w:val="0"/>
              <w:spacing w:line="360" w:lineRule="exact"/>
              <w:jc w:val="center"/>
              <w:textAlignment w:val="baseline"/>
              <w:rPr>
                <w:rFonts w:ascii="仿宋_GB2312" w:hAnsi="仿宋_GB2312" w:eastAsia="仿宋_GB2312" w:cs="仿宋_GB2312"/>
                <w:b/>
                <w:bCs/>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2</w:t>
            </w:r>
            <w:r>
              <w:rPr>
                <w:rFonts w:ascii="仿宋_GB2312" w:hAnsi="仿宋_GB2312" w:eastAsia="仿宋_GB2312" w:cs="仿宋_GB2312"/>
                <w:b/>
                <w:bCs/>
                <w:color w:val="000000" w:themeColor="text1"/>
                <w:szCs w:val="21"/>
                <w14:textFill>
                  <w14:solidFill>
                    <w14:schemeClr w14:val="tx1"/>
                  </w14:solidFill>
                </w14:textFill>
              </w:rPr>
              <w:t>020</w:t>
            </w:r>
            <w:r>
              <w:rPr>
                <w:rFonts w:hint="eastAsia" w:ascii="仿宋_GB2312" w:hAnsi="仿宋_GB2312" w:eastAsia="仿宋_GB2312" w:cs="仿宋_GB2312"/>
                <w:b/>
                <w:bCs/>
                <w:color w:val="000000" w:themeColor="text1"/>
                <w:szCs w:val="21"/>
                <w14:textFill>
                  <w14:solidFill>
                    <w14:schemeClr w14:val="tx1"/>
                  </w14:solidFill>
                </w14:textFill>
              </w:rPr>
              <w:t>年末</w:t>
            </w:r>
          </w:p>
        </w:tc>
        <w:tc>
          <w:tcPr>
            <w:tcW w:w="1320" w:type="dxa"/>
            <w:vAlign w:val="center"/>
          </w:tcPr>
          <w:p>
            <w:pPr>
              <w:snapToGrid w:val="0"/>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2</w:t>
            </w:r>
            <w:r>
              <w:rPr>
                <w:rFonts w:ascii="仿宋_GB2312" w:hAnsi="仿宋_GB2312" w:eastAsia="仿宋_GB2312" w:cs="仿宋_GB2312"/>
                <w:b/>
                <w:bCs/>
                <w:color w:val="000000" w:themeColor="text1"/>
                <w:szCs w:val="21"/>
                <w14:textFill>
                  <w14:solidFill>
                    <w14:schemeClr w14:val="tx1"/>
                  </w14:solidFill>
                </w14:textFill>
              </w:rPr>
              <w:t>025</w:t>
            </w:r>
            <w:r>
              <w:rPr>
                <w:rFonts w:hint="eastAsia" w:ascii="仿宋_GB2312" w:hAnsi="仿宋_GB2312" w:eastAsia="仿宋_GB2312" w:cs="仿宋_GB2312"/>
                <w:b/>
                <w:bCs/>
                <w:color w:val="000000" w:themeColor="text1"/>
                <w:szCs w:val="21"/>
                <w14:textFill>
                  <w14:solidFill>
                    <w14:schemeClr w14:val="tx1"/>
                  </w14:solidFill>
                </w14:textFill>
              </w:rPr>
              <w:t>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w:t>
            </w:r>
          </w:p>
          <w:p>
            <w:pPr>
              <w:pStyle w:val="2"/>
              <w:spacing w:line="360" w:lineRule="exact"/>
              <w:ind w:left="0"/>
              <w:jc w:val="center"/>
              <w:textAlignment w:val="baseline"/>
              <w:rPr>
                <w:rFonts w:hint="eastAsia" w:ascii="仿宋_GB2312" w:hAnsi="仿宋_GB2312" w:eastAsia="仿宋_GB2312" w:cs="仿宋_GB2312"/>
                <w:b/>
                <w:bCs/>
                <w:color w:val="000000" w:themeColor="text1"/>
                <w:sz w:val="21"/>
                <w:szCs w:val="21"/>
                <w:lang w:val="en-US" w:eastAsia="zh-CN"/>
                <w14:textFill>
                  <w14:solidFill>
                    <w14:schemeClr w14:val="tx1"/>
                  </w14:solidFill>
                </w14:textFill>
              </w:rPr>
            </w:pPr>
          </w:p>
        </w:tc>
        <w:tc>
          <w:tcPr>
            <w:tcW w:w="885" w:type="dxa"/>
            <w:vMerge w:val="restart"/>
            <w:vAlign w:val="center"/>
          </w:tcPr>
          <w:p>
            <w:pPr>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质</w:t>
            </w:r>
          </w:p>
          <w:p>
            <w:pPr>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量</w:t>
            </w:r>
          </w:p>
          <w:p>
            <w:pPr>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建</w:t>
            </w:r>
          </w:p>
          <w:p>
            <w:pPr>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设</w:t>
            </w: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中国质量奖、省、市政府质量奖获奖组织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29</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2</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制造业产品质量合格率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96.8</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3</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规模以上工业新产品产值率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36.5</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4</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农产品质量安全省级例行监测合格率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99.5</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5</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社会公共计量标准数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szCs w:val="21"/>
              </w:rPr>
              <w:t>226</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6</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服务质量满意度</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bCs/>
              </w:rPr>
              <w:t>87.15</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7</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鲁班奖、国家优质工程奖、詹天佑奖等国家级奖</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tabs>
                <w:tab w:val="left" w:pos="245"/>
                <w:tab w:val="center" w:pos="388"/>
              </w:tabs>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8</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设区城市空气质量优良天数比例</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96</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9</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地表水市控断面达到或优于Ⅲ类水质比例</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10</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县级以上城市集中式饮用水水源地水质达标率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11</w:t>
            </w:r>
          </w:p>
        </w:tc>
        <w:tc>
          <w:tcPr>
            <w:tcW w:w="885" w:type="dxa"/>
            <w:vMerge w:val="restart"/>
            <w:vAlign w:val="center"/>
          </w:tcPr>
          <w:p>
            <w:pPr>
              <w:snapToGrid w:val="0"/>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标</w:t>
            </w:r>
          </w:p>
          <w:p>
            <w:pPr>
              <w:snapToGrid w:val="0"/>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准</w:t>
            </w:r>
          </w:p>
          <w:p>
            <w:pPr>
              <w:snapToGrid w:val="0"/>
              <w:spacing w:line="360" w:lineRule="exact"/>
              <w:jc w:val="center"/>
              <w:textAlignment w:val="baseline"/>
              <w:rPr>
                <w:rFonts w:hint="eastAsia" w:ascii="仿宋_GB2312" w:hAnsi="仿宋_GB2312" w:eastAsia="仿宋_GB2312" w:cs="仿宋_GB2312"/>
                <w:b/>
                <w:bCs/>
                <w:color w:val="000000" w:themeColor="text1"/>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建</w:t>
            </w:r>
          </w:p>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b/>
                <w:bCs/>
                <w:color w:val="000000" w:themeColor="text1"/>
                <w:szCs w:val="21"/>
                <w14:textFill>
                  <w14:solidFill>
                    <w14:schemeClr w14:val="tx1"/>
                  </w14:solidFill>
                </w14:textFill>
              </w:rPr>
              <w:t>设</w:t>
            </w: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主导或参与制修订国际标准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12</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主导或参与制修订国家标准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128</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13</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主导或参与制修订行业标准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151</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14</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主导或参与省级地方标准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36</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15</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 xml:space="preserve"> “浙江制造”团体标准</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项</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67</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16</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“企业标准领跑者”企业</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17</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省、市标准创新贡献奖获奖组织</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18</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标准国际化示范单位</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color w:val="000000" w:themeColor="text1"/>
                <w:sz w:val="20"/>
                <w:szCs w:val="21"/>
                <w:lang w:val="en-US" w:eastAsia="zh-CN"/>
                <w14:textFill>
                  <w14:solidFill>
                    <w14:schemeClr w14:val="tx1"/>
                  </w14:solidFill>
                </w14:textFill>
              </w:rPr>
            </w:pPr>
            <w:r>
              <w:rPr>
                <w:rFonts w:hint="eastAsia" w:ascii="仿宋_GB2312" w:hAnsi="仿宋_GB2312" w:eastAsia="仿宋_GB2312" w:cs="仿宋_GB2312"/>
                <w:b/>
                <w:bCs/>
                <w:color w:val="000000" w:themeColor="text1"/>
                <w:sz w:val="20"/>
                <w:szCs w:val="21"/>
                <w:lang w:val="en-US" w:eastAsia="zh-CN"/>
                <w14:textFill>
                  <w14:solidFill>
                    <w14:schemeClr w14:val="tx1"/>
                  </w14:solidFill>
                </w14:textFill>
              </w:rPr>
              <w:t>19</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国家级和省级标准化试点示范项目</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个</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262</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sz w:val="20"/>
                <w:szCs w:val="21"/>
                <w:lang w:val="en-US" w:eastAsia="zh-CN"/>
              </w:rPr>
            </w:pPr>
            <w:r>
              <w:rPr>
                <w:rFonts w:hint="eastAsia" w:ascii="仿宋_GB2312" w:hAnsi="仿宋_GB2312" w:eastAsia="仿宋_GB2312" w:cs="仿宋_GB2312"/>
                <w:b/>
                <w:bCs/>
                <w:sz w:val="20"/>
                <w:szCs w:val="21"/>
                <w:lang w:val="en-US" w:eastAsia="zh-CN"/>
              </w:rPr>
              <w:t>20</w:t>
            </w:r>
          </w:p>
        </w:tc>
        <w:tc>
          <w:tcPr>
            <w:tcW w:w="885" w:type="dxa"/>
            <w:vMerge w:val="restart"/>
            <w:vAlign w:val="center"/>
          </w:tcPr>
          <w:p>
            <w:pPr>
              <w:snapToGrid w:val="0"/>
              <w:spacing w:line="360" w:lineRule="exact"/>
              <w:jc w:val="center"/>
              <w:textAlignment w:val="baseline"/>
              <w:rPr>
                <w:rFonts w:hint="eastAsia" w:ascii="仿宋_GB2312" w:hAnsi="仿宋_GB2312" w:eastAsia="仿宋_GB2312" w:cs="仿宋_GB2312"/>
                <w:b/>
                <w:bCs/>
                <w:szCs w:val="21"/>
              </w:rPr>
            </w:pPr>
            <w:r>
              <w:rPr>
                <w:rFonts w:hint="eastAsia" w:ascii="仿宋_GB2312" w:hAnsi="仿宋_GB2312" w:eastAsia="仿宋_GB2312" w:cs="仿宋_GB2312"/>
                <w:b/>
                <w:bCs/>
                <w:szCs w:val="21"/>
              </w:rPr>
              <w:t>品</w:t>
            </w:r>
          </w:p>
          <w:p>
            <w:pPr>
              <w:snapToGrid w:val="0"/>
              <w:spacing w:line="360" w:lineRule="exact"/>
              <w:jc w:val="center"/>
              <w:textAlignment w:val="baseline"/>
              <w:rPr>
                <w:rFonts w:hint="eastAsia" w:ascii="仿宋_GB2312" w:hAnsi="仿宋_GB2312" w:eastAsia="仿宋_GB2312" w:cs="仿宋_GB2312"/>
                <w:b/>
                <w:bCs/>
                <w:szCs w:val="21"/>
              </w:rPr>
            </w:pPr>
            <w:r>
              <w:rPr>
                <w:rFonts w:hint="eastAsia" w:ascii="仿宋_GB2312" w:hAnsi="仿宋_GB2312" w:eastAsia="仿宋_GB2312" w:cs="仿宋_GB2312"/>
                <w:b/>
                <w:bCs/>
                <w:szCs w:val="21"/>
              </w:rPr>
              <w:t>牌</w:t>
            </w:r>
          </w:p>
          <w:p>
            <w:pPr>
              <w:snapToGrid w:val="0"/>
              <w:spacing w:line="360" w:lineRule="exact"/>
              <w:jc w:val="center"/>
              <w:textAlignment w:val="baseline"/>
              <w:rPr>
                <w:rFonts w:hint="eastAsia" w:ascii="仿宋_GB2312" w:hAnsi="仿宋_GB2312" w:eastAsia="仿宋_GB2312" w:cs="仿宋_GB2312"/>
                <w:b/>
                <w:bCs/>
                <w:szCs w:val="21"/>
              </w:rPr>
            </w:pPr>
            <w:r>
              <w:rPr>
                <w:rFonts w:hint="eastAsia" w:ascii="仿宋_GB2312" w:hAnsi="仿宋_GB2312" w:eastAsia="仿宋_GB2312" w:cs="仿宋_GB2312"/>
                <w:b/>
                <w:bCs/>
                <w:szCs w:val="21"/>
              </w:rPr>
              <w:t>建</w:t>
            </w:r>
          </w:p>
          <w:p>
            <w:pPr>
              <w:snapToGrid w:val="0"/>
              <w:spacing w:line="360" w:lineRule="exact"/>
              <w:jc w:val="center"/>
              <w:textAlignment w:val="baseline"/>
              <w:rPr>
                <w:rFonts w:ascii="仿宋_GB2312" w:hAnsi="仿宋_GB2312" w:eastAsia="仿宋_GB2312" w:cs="仿宋_GB2312"/>
                <w:sz w:val="20"/>
                <w:szCs w:val="21"/>
              </w:rPr>
            </w:pPr>
            <w:r>
              <w:rPr>
                <w:rFonts w:hint="eastAsia" w:ascii="仿宋_GB2312" w:hAnsi="仿宋_GB2312" w:eastAsia="仿宋_GB2312" w:cs="仿宋_GB2312"/>
                <w:b/>
                <w:bCs/>
                <w:szCs w:val="21"/>
              </w:rPr>
              <w:t>设</w:t>
            </w: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“品字标浙江制造”品牌企业</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32</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b/>
                <w:bCs/>
                <w:sz w:val="20"/>
                <w:szCs w:val="21"/>
                <w:lang w:val="en-US" w:eastAsia="zh-CN"/>
              </w:rPr>
            </w:pPr>
            <w:r>
              <w:rPr>
                <w:rFonts w:hint="eastAsia" w:ascii="仿宋_GB2312" w:hAnsi="仿宋_GB2312" w:eastAsia="仿宋_GB2312" w:cs="仿宋_GB2312"/>
                <w:b/>
                <w:bCs/>
                <w:sz w:val="20"/>
                <w:szCs w:val="21"/>
                <w:lang w:val="en-US" w:eastAsia="zh-CN"/>
              </w:rPr>
              <w:t>21</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绿色产品认证证书</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张</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22</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“丽水山耕”品牌认证企业数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139</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23</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“丽水山居”商标授权使用民宿数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家次</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3380</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24</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浙江出口名牌</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个</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11</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25</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国内有效商标注册数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sz w:val="20"/>
                <w:szCs w:val="21"/>
              </w:rPr>
            </w:pPr>
            <w:r>
              <w:rPr>
                <w:rFonts w:hint="eastAsia" w:ascii="仿宋_GB2312" w:hAnsi="仿宋_GB2312" w:eastAsia="仿宋_GB2312" w:cs="仿宋_GB2312"/>
                <w:color w:val="000000" w:themeColor="text1"/>
                <w:szCs w:val="21"/>
                <w14:textFill>
                  <w14:solidFill>
                    <w14:schemeClr w14:val="tx1"/>
                  </w14:solidFill>
                </w14:textFill>
              </w:rPr>
              <w:t>件</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sz w:val="20"/>
                <w:szCs w:val="21"/>
              </w:rPr>
            </w:pPr>
            <w:r>
              <w:rPr>
                <w:rFonts w:hint="eastAsia" w:ascii="仿宋_GB2312" w:hAnsi="仿宋_GB2312" w:eastAsia="仿宋_GB2312" w:cs="仿宋_GB2312"/>
                <w:color w:val="000000"/>
                <w:szCs w:val="21"/>
              </w:rPr>
              <w:t>62607</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26</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lang w:bidi="ar"/>
              </w:rPr>
              <w:t>地理标志数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sz w:val="20"/>
                <w:szCs w:val="21"/>
              </w:rPr>
            </w:pPr>
            <w:r>
              <w:rPr>
                <w:rFonts w:hint="eastAsia" w:ascii="仿宋_GB2312" w:hAnsi="仿宋_GB2312" w:eastAsia="仿宋_GB2312" w:cs="仿宋_GB2312"/>
                <w:color w:val="000000" w:themeColor="text1"/>
                <w:szCs w:val="21"/>
                <w14:textFill>
                  <w14:solidFill>
                    <w14:schemeClr w14:val="tx1"/>
                  </w14:solidFill>
                </w14:textFill>
              </w:rPr>
              <w:t>件</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sz w:val="20"/>
                <w:szCs w:val="21"/>
              </w:rPr>
            </w:pPr>
            <w:r>
              <w:rPr>
                <w:rFonts w:hint="eastAsia" w:ascii="仿宋_GB2312" w:hAnsi="仿宋_GB2312" w:eastAsia="仿宋_GB2312" w:cs="仿宋_GB2312"/>
                <w:color w:val="000000"/>
                <w:szCs w:val="21"/>
              </w:rPr>
              <w:t>44</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27</w:t>
            </w:r>
          </w:p>
        </w:tc>
        <w:tc>
          <w:tcPr>
            <w:tcW w:w="885" w:type="dxa"/>
            <w:vMerge w:val="continue"/>
            <w:vAlign w:val="center"/>
          </w:tcPr>
          <w:p>
            <w:pPr>
              <w:snapToGrid w:val="0"/>
              <w:spacing w:line="360" w:lineRule="exact"/>
              <w:jc w:val="center"/>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马德里商标国际注册数</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件</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highlight w:val="yellow"/>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101</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34" w:type="dxa"/>
            <w:vAlign w:val="center"/>
          </w:tcPr>
          <w:p>
            <w:pPr>
              <w:spacing w:line="360" w:lineRule="exact"/>
              <w:jc w:val="center"/>
              <w:textAlignment w:val="baseline"/>
              <w:rPr>
                <w:rFonts w:hint="default" w:ascii="仿宋_GB2312" w:hAnsi="仿宋_GB2312" w:eastAsia="仿宋_GB2312" w:cs="仿宋_GB2312"/>
                <w:sz w:val="20"/>
                <w:szCs w:val="21"/>
                <w:lang w:val="en-US" w:eastAsia="zh-CN"/>
              </w:rPr>
            </w:pPr>
            <w:r>
              <w:rPr>
                <w:rFonts w:hint="eastAsia" w:ascii="仿宋_GB2312" w:hAnsi="仿宋_GB2312" w:eastAsia="仿宋_GB2312" w:cs="仿宋_GB2312"/>
                <w:sz w:val="20"/>
                <w:szCs w:val="21"/>
                <w:lang w:val="en-US" w:eastAsia="zh-CN"/>
              </w:rPr>
              <w:t>28</w:t>
            </w:r>
          </w:p>
        </w:tc>
        <w:tc>
          <w:tcPr>
            <w:tcW w:w="885" w:type="dxa"/>
            <w:vMerge w:val="continue"/>
            <w:vAlign w:val="center"/>
          </w:tcPr>
          <w:p>
            <w:pPr>
              <w:snapToGrid w:val="0"/>
              <w:spacing w:line="360" w:lineRule="exact"/>
              <w:jc w:val="both"/>
              <w:textAlignment w:val="baseline"/>
              <w:rPr>
                <w:rFonts w:ascii="仿宋_GB2312" w:hAnsi="仿宋_GB2312" w:eastAsia="仿宋_GB2312" w:cs="仿宋_GB2312"/>
                <w:sz w:val="20"/>
                <w:szCs w:val="21"/>
              </w:rPr>
            </w:pPr>
          </w:p>
        </w:tc>
        <w:tc>
          <w:tcPr>
            <w:tcW w:w="5190"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szCs w:val="21"/>
              </w:rPr>
              <w:t>每万人高价值发明专利拥有量</w:t>
            </w:r>
          </w:p>
        </w:tc>
        <w:tc>
          <w:tcPr>
            <w:tcW w:w="131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件</w:t>
            </w:r>
          </w:p>
        </w:tc>
        <w:tc>
          <w:tcPr>
            <w:tcW w:w="1275" w:type="dxa"/>
            <w:vAlign w:val="center"/>
          </w:tcPr>
          <w:p>
            <w:pPr>
              <w:snapToGrid w:val="0"/>
              <w:spacing w:line="360" w:lineRule="exact"/>
              <w:jc w:val="center"/>
              <w:textAlignment w:val="baseline"/>
              <w:rPr>
                <w:rFonts w:ascii="仿宋_GB2312" w:hAnsi="仿宋_GB2312" w:eastAsia="仿宋_GB2312" w:cs="仿宋_GB2312"/>
                <w:color w:val="000000" w:themeColor="text1"/>
                <w:sz w:val="20"/>
                <w:szCs w:val="21"/>
                <w:highlight w:val="yellow"/>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2.4</w:t>
            </w:r>
          </w:p>
        </w:tc>
        <w:tc>
          <w:tcPr>
            <w:tcW w:w="1320" w:type="dxa"/>
            <w:vAlign w:val="center"/>
          </w:tcPr>
          <w:p>
            <w:pPr>
              <w:snapToGrid w:val="0"/>
              <w:spacing w:line="360" w:lineRule="exact"/>
              <w:jc w:val="center"/>
              <w:textAlignment w:val="baseline"/>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4</w:t>
            </w:r>
          </w:p>
        </w:tc>
      </w:tr>
    </w:tbl>
    <w:p>
      <w:pPr>
        <w:spacing w:line="580" w:lineRule="exact"/>
        <w:ind w:firstLine="640" w:firstLineChars="200"/>
        <w:jc w:val="center"/>
        <w:textAlignment w:val="baseline"/>
        <w:rPr>
          <w:rFonts w:hint="eastAsia" w:ascii="仿宋_GB2312" w:hAnsi="仿宋_GB2312" w:eastAsia="仿宋_GB2312" w:cs="仿宋_GB2312"/>
          <w:color w:val="000000" w:themeColor="text1"/>
          <w:sz w:val="32"/>
          <w:szCs w:val="32"/>
          <w14:textFill>
            <w14:solidFill>
              <w14:schemeClr w14:val="tx1"/>
            </w14:solidFill>
          </w14:textFill>
        </w:rPr>
      </w:pP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13" w:name="_Toc79779430"/>
      <w:r>
        <w:rPr>
          <w:b w:val="0"/>
          <w:bCs w:val="0"/>
          <w:color w:val="000000" w:themeColor="text1"/>
          <w14:textFill>
            <w14:solidFill>
              <w14:schemeClr w14:val="tx1"/>
            </w14:solidFill>
          </w14:textFill>
        </w:rPr>
        <w:t>三、推进</w:t>
      </w:r>
      <w:r>
        <w:rPr>
          <w:rFonts w:hint="eastAsia"/>
          <w:b w:val="0"/>
          <w:bCs w:val="0"/>
          <w:color w:val="000000" w:themeColor="text1"/>
          <w14:textFill>
            <w14:solidFill>
              <w14:schemeClr w14:val="tx1"/>
            </w14:solidFill>
          </w14:textFill>
        </w:rPr>
        <w:t>“丽水智造”</w:t>
      </w:r>
      <w:r>
        <w:rPr>
          <w:b w:val="0"/>
          <w:bCs w:val="0"/>
          <w:color w:val="000000" w:themeColor="text1"/>
          <w14:textFill>
            <w14:solidFill>
              <w14:schemeClr w14:val="tx1"/>
            </w14:solidFill>
          </w14:textFill>
        </w:rPr>
        <w:t>高质量提升</w:t>
      </w:r>
      <w:bookmarkEnd w:id="13"/>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14" w:name="_Toc79779431"/>
      <w:r>
        <w:rPr>
          <w:rFonts w:ascii="Times New Roman" w:hAnsi="Times New Roman" w:eastAsia="楷体_GB2312" w:cs="Times New Roman"/>
          <w:b w:val="0"/>
          <w:color w:val="000000" w:themeColor="text1"/>
          <w14:textFill>
            <w14:solidFill>
              <w14:schemeClr w14:val="tx1"/>
            </w14:solidFill>
          </w14:textFill>
        </w:rPr>
        <w:t>（一）树立“丽水智造”质量标杆</w:t>
      </w:r>
      <w:bookmarkEnd w:id="14"/>
    </w:p>
    <w:p>
      <w:pPr>
        <w:pStyle w:val="3"/>
        <w:spacing w:line="580" w:lineRule="exact"/>
        <w:ind w:left="0" w:firstLine="643" w:firstLineChars="200"/>
        <w:textAlignment w:val="baseline"/>
        <w:rPr>
          <w:rFonts w:ascii="Times New Roman" w:hAnsi="Times New Roman" w:eastAsia="仿宋_GB2312" w:cs="Times New Roman"/>
          <w:color w:val="000000" w:themeColor="text1"/>
          <w:kern w:val="0"/>
          <w:sz w:val="32"/>
          <w:szCs w:val="32"/>
          <w14:textFill>
            <w14:solidFill>
              <w14:schemeClr w14:val="tx1"/>
            </w14:solidFill>
          </w14:textFill>
        </w:rPr>
      </w:pPr>
      <w:r>
        <w:rPr>
          <w:rFonts w:hint="eastAsia" w:ascii="Times New Roman" w:hAnsi="Times New Roman" w:eastAsia="仿宋_GB2312" w:cs="Times New Roman"/>
          <w:b/>
          <w:bCs/>
          <w:color w:val="000000" w:themeColor="text1"/>
          <w:kern w:val="0"/>
          <w:sz w:val="32"/>
          <w:szCs w:val="32"/>
          <w14:textFill>
            <w14:solidFill>
              <w14:schemeClr w14:val="tx1"/>
            </w14:solidFill>
          </w14:textFill>
        </w:rPr>
        <w:t>方法引领，实施</w:t>
      </w:r>
      <w:r>
        <w:rPr>
          <w:rFonts w:ascii="Times New Roman" w:hAnsi="Times New Roman" w:eastAsia="仿宋_GB2312" w:cs="Times New Roman"/>
          <w:b/>
          <w:bCs/>
          <w:color w:val="000000" w:themeColor="text1"/>
          <w:kern w:val="0"/>
          <w:sz w:val="32"/>
          <w:szCs w:val="32"/>
          <w14:textFill>
            <w14:solidFill>
              <w14:schemeClr w14:val="tx1"/>
            </w14:solidFill>
          </w14:textFill>
        </w:rPr>
        <w:t>质量</w:t>
      </w:r>
      <w:r>
        <w:rPr>
          <w:rFonts w:hint="eastAsia" w:ascii="Times New Roman" w:hAnsi="Times New Roman" w:eastAsia="仿宋_GB2312" w:cs="Times New Roman"/>
          <w:b/>
          <w:bCs/>
          <w:color w:val="000000" w:themeColor="text1"/>
          <w:kern w:val="0"/>
          <w:sz w:val="32"/>
          <w:szCs w:val="32"/>
          <w14:textFill>
            <w14:solidFill>
              <w14:schemeClr w14:val="tx1"/>
            </w14:solidFill>
          </w14:textFill>
        </w:rPr>
        <w:t>筑基行动工程。</w:t>
      </w:r>
      <w:r>
        <w:rPr>
          <w:rFonts w:ascii="Times New Roman" w:hAnsi="Times New Roman" w:eastAsia="仿宋_GB2312" w:cs="Times New Roman"/>
          <w:color w:val="000000" w:themeColor="text1"/>
          <w:kern w:val="0"/>
          <w:sz w:val="32"/>
          <w:szCs w:val="32"/>
          <w14:textFill>
            <w14:solidFill>
              <w14:schemeClr w14:val="tx1"/>
            </w14:solidFill>
          </w14:textFill>
        </w:rPr>
        <w:t>引导企业</w:t>
      </w:r>
      <w:r>
        <w:rPr>
          <w:rFonts w:hint="eastAsia" w:ascii="Times New Roman" w:hAnsi="Times New Roman" w:eastAsia="仿宋_GB2312" w:cs="Times New Roman"/>
          <w:color w:val="000000" w:themeColor="text1"/>
          <w:kern w:val="0"/>
          <w:sz w:val="32"/>
          <w:szCs w:val="32"/>
          <w14:textFill>
            <w14:solidFill>
              <w14:schemeClr w14:val="tx1"/>
            </w14:solidFill>
          </w14:textFill>
        </w:rPr>
        <w:t>牢固</w:t>
      </w:r>
      <w:r>
        <w:rPr>
          <w:rFonts w:ascii="Times New Roman" w:hAnsi="Times New Roman" w:eastAsia="仿宋_GB2312" w:cs="Times New Roman"/>
          <w:color w:val="000000" w:themeColor="text1"/>
          <w:kern w:val="0"/>
          <w:sz w:val="32"/>
          <w:szCs w:val="32"/>
          <w14:textFill>
            <w14:solidFill>
              <w14:schemeClr w14:val="tx1"/>
            </w14:solidFill>
          </w14:textFill>
        </w:rPr>
        <w:t>树立“质量第一”的理念，利用质量集成管理方法，整合生产组织全过程要素资源，大力推广</w:t>
      </w:r>
      <w:r>
        <w:rPr>
          <w:rFonts w:hint="eastAsia" w:ascii="Times New Roman" w:hAnsi="Times New Roman" w:eastAsia="仿宋_GB2312" w:cs="Times New Roman"/>
          <w:color w:val="000000" w:themeColor="text1"/>
          <w:kern w:val="0"/>
          <w:sz w:val="32"/>
          <w:szCs w:val="32"/>
          <w14:textFill>
            <w14:solidFill>
              <w14:schemeClr w14:val="tx1"/>
            </w14:solidFill>
          </w14:textFill>
        </w:rPr>
        <w:t>Q</w:t>
      </w:r>
      <w:r>
        <w:rPr>
          <w:rFonts w:ascii="Times New Roman" w:hAnsi="Times New Roman" w:eastAsia="仿宋_GB2312" w:cs="Times New Roman"/>
          <w:color w:val="000000" w:themeColor="text1"/>
          <w:kern w:val="0"/>
          <w:sz w:val="32"/>
          <w:szCs w:val="32"/>
          <w14:textFill>
            <w14:solidFill>
              <w14:schemeClr w14:val="tx1"/>
            </w14:solidFill>
          </w14:textFill>
        </w:rPr>
        <w:t>C</w:t>
      </w:r>
      <w:r>
        <w:rPr>
          <w:rFonts w:hint="eastAsia" w:ascii="Times New Roman" w:hAnsi="Times New Roman" w:eastAsia="仿宋_GB2312" w:cs="Times New Roman"/>
          <w:color w:val="000000" w:themeColor="text1"/>
          <w:kern w:val="0"/>
          <w:sz w:val="32"/>
          <w:szCs w:val="32"/>
          <w14:textFill>
            <w14:solidFill>
              <w14:schemeClr w14:val="tx1"/>
            </w14:solidFill>
          </w14:textFill>
        </w:rPr>
        <w:t>（质量控制）、质量管理体系、企业标准化体系和项目管理体系，引入</w:t>
      </w:r>
      <w:r>
        <w:rPr>
          <w:rFonts w:ascii="Times New Roman" w:hAnsi="Times New Roman" w:eastAsia="仿宋_GB2312" w:cs="Times New Roman"/>
          <w:color w:val="000000" w:themeColor="text1"/>
          <w:kern w:val="0"/>
          <w:sz w:val="32"/>
          <w:szCs w:val="32"/>
          <w14:textFill>
            <w14:solidFill>
              <w14:schemeClr w14:val="tx1"/>
            </w14:solidFill>
          </w14:textFill>
        </w:rPr>
        <w:t>卓越绩效模式、</w:t>
      </w:r>
      <w:r>
        <w:rPr>
          <w:rFonts w:hint="eastAsia" w:ascii="Times New Roman" w:hAnsi="Times New Roman" w:eastAsia="仿宋_GB2312" w:cs="Times New Roman"/>
          <w:color w:val="000000" w:themeColor="text1"/>
          <w:kern w:val="0"/>
          <w:sz w:val="32"/>
          <w:szCs w:val="32"/>
          <w14:textFill>
            <w14:solidFill>
              <w14:schemeClr w14:val="tx1"/>
            </w14:solidFill>
          </w14:textFill>
        </w:rPr>
        <w:t>供应链管理方法、</w:t>
      </w:r>
      <w:r>
        <w:rPr>
          <w:rFonts w:ascii="Times New Roman" w:hAnsi="Times New Roman" w:eastAsia="仿宋_GB2312" w:cs="Times New Roman"/>
          <w:color w:val="000000" w:themeColor="text1"/>
          <w:kern w:val="0"/>
          <w:sz w:val="32"/>
          <w:szCs w:val="32"/>
          <w14:textFill>
            <w14:solidFill>
              <w14:schemeClr w14:val="tx1"/>
            </w14:solidFill>
          </w14:textFill>
        </w:rPr>
        <w:t>精益生产</w:t>
      </w:r>
      <w:r>
        <w:rPr>
          <w:rFonts w:hint="eastAsia" w:ascii="Times New Roman" w:hAnsi="Times New Roman" w:eastAsia="仿宋_GB2312" w:cs="Times New Roman"/>
          <w:color w:val="000000" w:themeColor="text1"/>
          <w:kern w:val="0"/>
          <w:sz w:val="32"/>
          <w:szCs w:val="32"/>
          <w14:textFill>
            <w14:solidFill>
              <w14:schemeClr w14:val="tx1"/>
            </w14:solidFill>
          </w14:textFill>
        </w:rPr>
        <w:t>方法</w:t>
      </w:r>
      <w:r>
        <w:rPr>
          <w:rFonts w:ascii="Times New Roman" w:hAnsi="Times New Roman" w:eastAsia="仿宋_GB2312" w:cs="Times New Roman"/>
          <w:color w:val="000000" w:themeColor="text1"/>
          <w:kern w:val="0"/>
          <w:sz w:val="32"/>
          <w:szCs w:val="32"/>
          <w14:textFill>
            <w14:solidFill>
              <w14:schemeClr w14:val="tx1"/>
            </w14:solidFill>
          </w14:textFill>
        </w:rPr>
        <w:t>、能力成熟度模型</w:t>
      </w:r>
      <w:r>
        <w:rPr>
          <w:rFonts w:hint="eastAsia" w:ascii="Times New Roman" w:hAnsi="Times New Roman" w:eastAsia="仿宋_GB2312" w:cs="Times New Roman"/>
          <w:color w:val="000000" w:themeColor="text1"/>
          <w:kern w:val="0"/>
          <w:sz w:val="32"/>
          <w:szCs w:val="32"/>
          <w14:textFill>
            <w14:solidFill>
              <w14:schemeClr w14:val="tx1"/>
            </w14:solidFill>
          </w14:textFill>
        </w:rPr>
        <w:t>等</w:t>
      </w:r>
      <w:r>
        <w:rPr>
          <w:rFonts w:ascii="Times New Roman" w:hAnsi="Times New Roman" w:eastAsia="仿宋_GB2312" w:cs="Times New Roman"/>
          <w:color w:val="000000" w:themeColor="text1"/>
          <w:kern w:val="0"/>
          <w:sz w:val="32"/>
          <w:szCs w:val="32"/>
          <w14:textFill>
            <w14:solidFill>
              <w14:schemeClr w14:val="tx1"/>
            </w14:solidFill>
          </w14:textFill>
        </w:rPr>
        <w:t>现代管理</w:t>
      </w:r>
      <w:r>
        <w:rPr>
          <w:rFonts w:hint="eastAsia" w:ascii="Times New Roman" w:hAnsi="Times New Roman" w:eastAsia="仿宋_GB2312" w:cs="Times New Roman"/>
          <w:color w:val="000000" w:themeColor="text1"/>
          <w:kern w:val="0"/>
          <w:sz w:val="32"/>
          <w:szCs w:val="32"/>
          <w14:textFill>
            <w14:solidFill>
              <w14:schemeClr w14:val="tx1"/>
            </w14:solidFill>
          </w14:textFill>
        </w:rPr>
        <w:t>制度</w:t>
      </w:r>
      <w:r>
        <w:rPr>
          <w:rFonts w:ascii="Times New Roman" w:hAnsi="Times New Roman" w:eastAsia="仿宋_GB2312" w:cs="Times New Roman"/>
          <w:color w:val="000000" w:themeColor="text1"/>
          <w:kern w:val="0"/>
          <w:sz w:val="32"/>
          <w:szCs w:val="32"/>
          <w14:textFill>
            <w14:solidFill>
              <w14:schemeClr w14:val="tx1"/>
            </w14:solidFill>
          </w14:textFill>
        </w:rPr>
        <w:t>，普及质量通用标准规范，支持企业争创制造业领域</w:t>
      </w:r>
      <w:r>
        <w:rPr>
          <w:rFonts w:hint="eastAsia" w:ascii="Times New Roman" w:hAnsi="Times New Roman" w:eastAsia="仿宋_GB2312" w:cs="Times New Roman"/>
          <w:color w:val="000000" w:themeColor="text1"/>
          <w:kern w:val="0"/>
          <w:sz w:val="32"/>
          <w:szCs w:val="32"/>
          <w14:textFill>
            <w14:solidFill>
              <w14:schemeClr w14:val="tx1"/>
            </w14:solidFill>
          </w14:textFill>
        </w:rPr>
        <w:t>省政府</w:t>
      </w:r>
      <w:r>
        <w:rPr>
          <w:rFonts w:ascii="Times New Roman" w:hAnsi="Times New Roman" w:eastAsia="仿宋_GB2312" w:cs="Times New Roman"/>
          <w:color w:val="000000" w:themeColor="text1"/>
          <w:kern w:val="0"/>
          <w:sz w:val="32"/>
          <w:szCs w:val="32"/>
          <w14:textFill>
            <w14:solidFill>
              <w14:schemeClr w14:val="tx1"/>
            </w14:solidFill>
          </w14:textFill>
        </w:rPr>
        <w:t>质量奖</w:t>
      </w:r>
      <w:r>
        <w:rPr>
          <w:rFonts w:hint="eastAsia" w:ascii="Times New Roman" w:hAnsi="Times New Roman" w:eastAsia="仿宋_GB2312" w:cs="Times New Roman"/>
          <w:color w:val="000000" w:themeColor="text1"/>
          <w:kern w:val="0"/>
          <w:sz w:val="32"/>
          <w:szCs w:val="32"/>
          <w14:textFill>
            <w14:solidFill>
              <w14:schemeClr w14:val="tx1"/>
            </w14:solidFill>
          </w14:textFill>
        </w:rPr>
        <w:t>、中国质量奖。</w:t>
      </w:r>
      <w:r>
        <w:rPr>
          <w:rFonts w:ascii="Times New Roman" w:hAnsi="Times New Roman" w:eastAsia="仿宋_GB2312" w:cs="Times New Roman"/>
          <w:color w:val="000000" w:themeColor="text1"/>
          <w:kern w:val="0"/>
          <w:sz w:val="32"/>
          <w:szCs w:val="32"/>
          <w14:textFill>
            <w14:solidFill>
              <w14:schemeClr w14:val="tx1"/>
            </w14:solidFill>
          </w14:textFill>
        </w:rPr>
        <w:t>推广使用智能化设备、信息化系统、工业互联网，实现智能化生产、智慧化管理、协同化制造。</w:t>
      </w:r>
    </w:p>
    <w:p>
      <w:pPr>
        <w:ind w:firstLine="643" w:firstLineChars="200"/>
        <w:textAlignment w:val="baseline"/>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b/>
          <w:bCs/>
          <w:color w:val="000000" w:themeColor="text1"/>
          <w:sz w:val="32"/>
          <w:szCs w:val="32"/>
          <w14:textFill>
            <w14:solidFill>
              <w14:schemeClr w14:val="tx1"/>
            </w14:solidFill>
          </w14:textFill>
        </w:rPr>
        <w:t>创新驱动</w:t>
      </w:r>
      <w:r>
        <w:rPr>
          <w:rFonts w:hint="eastAsia" w:ascii="Times New Roman" w:hAnsi="Times New Roman" w:eastAsia="仿宋_GB2312" w:cs="Times New Roman"/>
          <w:b/>
          <w:bCs/>
          <w:color w:val="000000" w:themeColor="text1"/>
          <w:sz w:val="32"/>
          <w:szCs w:val="32"/>
          <w14:textFill>
            <w14:solidFill>
              <w14:schemeClr w14:val="tx1"/>
            </w14:solidFill>
          </w14:textFill>
        </w:rPr>
        <w:t>，</w:t>
      </w:r>
      <w:r>
        <w:rPr>
          <w:rFonts w:ascii="Times New Roman" w:hAnsi="Times New Roman" w:eastAsia="仿宋_GB2312" w:cs="Times New Roman"/>
          <w:b/>
          <w:bCs/>
          <w:color w:val="000000" w:themeColor="text1"/>
          <w:sz w:val="32"/>
          <w:szCs w:val="32"/>
          <w14:textFill>
            <w14:solidFill>
              <w14:schemeClr w14:val="tx1"/>
            </w14:solidFill>
          </w14:textFill>
        </w:rPr>
        <w:t>实施</w:t>
      </w:r>
      <w:r>
        <w:rPr>
          <w:rFonts w:hint="eastAsia" w:ascii="Times New Roman" w:hAnsi="Times New Roman" w:eastAsia="仿宋_GB2312" w:cs="Times New Roman"/>
          <w:b/>
          <w:bCs/>
          <w:color w:val="000000" w:themeColor="text1"/>
          <w:sz w:val="32"/>
          <w:szCs w:val="32"/>
          <w14:textFill>
            <w14:solidFill>
              <w14:schemeClr w14:val="tx1"/>
            </w14:solidFill>
          </w14:textFill>
        </w:rPr>
        <w:t>质量提升</w:t>
      </w:r>
      <w:r>
        <w:rPr>
          <w:rFonts w:ascii="Times New Roman" w:hAnsi="Times New Roman" w:eastAsia="仿宋_GB2312" w:cs="Times New Roman"/>
          <w:b/>
          <w:bCs/>
          <w:color w:val="000000" w:themeColor="text1"/>
          <w:sz w:val="32"/>
          <w:szCs w:val="32"/>
          <w14:textFill>
            <w14:solidFill>
              <w14:schemeClr w14:val="tx1"/>
            </w14:solidFill>
          </w14:textFill>
        </w:rPr>
        <w:t>“十百万”工程</w:t>
      </w:r>
      <w:r>
        <w:rPr>
          <w:rFonts w:hint="eastAsia" w:ascii="Times New Roman" w:hAnsi="Times New Roman" w:eastAsia="仿宋_GB2312" w:cs="Times New Roman"/>
          <w:b/>
          <w:bCs/>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围绕省十大标志性产业链，以及地方标志性产业链提升发展，聚焦高端设备、新材料、生物医药、时尚产业、新一代信息技术产业等重点领域，</w:t>
      </w:r>
      <w:r>
        <w:rPr>
          <w:rFonts w:ascii="Times New Roman" w:hAnsi="Times New Roman" w:eastAsia="仿宋_GB2312" w:cs="Times New Roman"/>
          <w:color w:val="000000" w:themeColor="text1"/>
          <w:sz w:val="32"/>
          <w:szCs w:val="32"/>
          <w14:textFill>
            <w14:solidFill>
              <w14:schemeClr w14:val="tx1"/>
            </w14:solidFill>
          </w14:textFill>
        </w:rPr>
        <w:t>实施产业链协同创新项目计划，强化质量人才队伍建设，完成100个首席质量官的评选认证，10000名一线员工全面质量管理培训。设置“质量攻关基金”，专项用于</w:t>
      </w:r>
      <w:r>
        <w:rPr>
          <w:rFonts w:hint="eastAsia" w:ascii="Times New Roman" w:hAnsi="Times New Roman" w:eastAsia="仿宋_GB2312" w:cs="Times New Roman"/>
          <w:color w:val="000000" w:themeColor="text1"/>
          <w:sz w:val="32"/>
          <w:szCs w:val="32"/>
          <w14:textFill>
            <w14:solidFill>
              <w14:schemeClr w14:val="tx1"/>
            </w14:solidFill>
          </w14:textFill>
        </w:rPr>
        <w:t>支持</w:t>
      </w:r>
      <w:r>
        <w:rPr>
          <w:rFonts w:ascii="Times New Roman" w:hAnsi="Times New Roman" w:eastAsia="仿宋_GB2312" w:cs="Times New Roman"/>
          <w:color w:val="000000" w:themeColor="text1"/>
          <w:sz w:val="32"/>
          <w:szCs w:val="32"/>
          <w14:textFill>
            <w14:solidFill>
              <w14:schemeClr w14:val="tx1"/>
            </w14:solidFill>
          </w14:textFill>
        </w:rPr>
        <w:t>企业</w:t>
      </w:r>
      <w:r>
        <w:rPr>
          <w:rFonts w:hint="eastAsia" w:ascii="Times New Roman" w:hAnsi="Times New Roman" w:eastAsia="仿宋_GB2312" w:cs="Times New Roman"/>
          <w:color w:val="000000" w:themeColor="text1"/>
          <w:sz w:val="32"/>
          <w:szCs w:val="32"/>
          <w14:textFill>
            <w14:solidFill>
              <w14:schemeClr w14:val="tx1"/>
            </w14:solidFill>
          </w14:textFill>
        </w:rPr>
        <w:t>质量提升和</w:t>
      </w:r>
      <w:r>
        <w:rPr>
          <w:rFonts w:ascii="Times New Roman" w:hAnsi="Times New Roman" w:eastAsia="仿宋_GB2312" w:cs="Times New Roman"/>
          <w:color w:val="000000" w:themeColor="text1"/>
          <w:sz w:val="32"/>
          <w:szCs w:val="32"/>
          <w14:textFill>
            <w14:solidFill>
              <w14:schemeClr w14:val="tx1"/>
            </w14:solidFill>
          </w14:textFill>
        </w:rPr>
        <w:t>关键核心技术</w:t>
      </w:r>
      <w:r>
        <w:rPr>
          <w:rFonts w:hint="eastAsia" w:ascii="Times New Roman" w:hAnsi="Times New Roman" w:eastAsia="仿宋_GB2312" w:cs="Times New Roman"/>
          <w:color w:val="000000" w:themeColor="text1"/>
          <w:sz w:val="32"/>
          <w:szCs w:val="32"/>
          <w14:textFill>
            <w14:solidFill>
              <w14:schemeClr w14:val="tx1"/>
            </w14:solidFill>
          </w14:textFill>
        </w:rPr>
        <w:t>专项攻关。</w:t>
      </w:r>
      <w:r>
        <w:rPr>
          <w:rFonts w:ascii="Times New Roman" w:hAnsi="Times New Roman" w:eastAsia="仿宋_GB2312" w:cs="Times New Roman"/>
          <w:color w:val="000000" w:themeColor="text1"/>
          <w:sz w:val="32"/>
          <w:szCs w:val="32"/>
          <w14:textFill>
            <w14:solidFill>
              <w14:schemeClr w14:val="tx1"/>
            </w14:solidFill>
          </w14:textFill>
        </w:rPr>
        <w:t>推动规上工业企业研发活动、研发机构、发明专利“三个全覆盖”，</w:t>
      </w:r>
      <w:r>
        <w:rPr>
          <w:rFonts w:hint="eastAsia" w:ascii="Times New Roman" w:hAnsi="Times New Roman" w:eastAsia="仿宋_GB2312" w:cs="Times New Roman"/>
          <w:color w:val="000000" w:themeColor="text1"/>
          <w:sz w:val="32"/>
          <w:szCs w:val="32"/>
          <w14:textFill>
            <w14:solidFill>
              <w14:schemeClr w14:val="tx1"/>
            </w14:solidFill>
          </w14:textFill>
        </w:rPr>
        <w:t>切实促进丽水智造能力提升。</w:t>
      </w:r>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b/>
          <w:bCs/>
          <w:color w:val="000000" w:themeColor="text1"/>
          <w:sz w:val="32"/>
          <w:szCs w:val="32"/>
          <w14:textFill>
            <w14:solidFill>
              <w14:schemeClr w14:val="tx1"/>
            </w14:solidFill>
          </w14:textFill>
        </w:rPr>
        <w:t>重点培育，</w:t>
      </w:r>
      <w:r>
        <w:rPr>
          <w:rFonts w:eastAsia="仿宋_GB2312"/>
          <w:b/>
          <w:bCs/>
          <w:color w:val="000000" w:themeColor="text1"/>
          <w:sz w:val="32"/>
          <w:szCs w:val="32"/>
          <w14:textFill>
            <w14:solidFill>
              <w14:schemeClr w14:val="tx1"/>
            </w14:solidFill>
          </w14:textFill>
        </w:rPr>
        <w:t>实施传统产业改造提升2.0版</w:t>
      </w:r>
      <w:r>
        <w:rPr>
          <w:rFonts w:hint="eastAsia" w:eastAsia="仿宋_GB2312"/>
          <w:b/>
          <w:bCs/>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以数字化、集群化、服务化为标志，积极创建省级传统制造业改造提升标杆县（市、区）。巩固深化空间整合、园区集聚、倒闭整治的成功经验，推进钢铁冶炼、金属制品、不锈钢、合成革、竹木加工传统产业凤凰涅槃、加快低效企业腾笼换鸟。</w:t>
      </w:r>
      <w:r>
        <w:rPr>
          <w:rFonts w:eastAsia="仿宋_GB2312"/>
          <w:color w:val="000000" w:themeColor="text1"/>
          <w:sz w:val="32"/>
          <w:szCs w:val="32"/>
          <w14:textFill>
            <w14:solidFill>
              <w14:schemeClr w14:val="tx1"/>
            </w14:solidFill>
          </w14:textFill>
        </w:rPr>
        <w:t>加快小微企业培育和入园，</w:t>
      </w:r>
      <w:r>
        <w:rPr>
          <w:rFonts w:ascii="Times New Roman" w:hAnsi="Times New Roman" w:eastAsia="仿宋_GB2312" w:cs="Times New Roman"/>
          <w:color w:val="000000" w:themeColor="text1"/>
          <w:sz w:val="32"/>
          <w:szCs w:val="32"/>
          <w14:textFill>
            <w14:solidFill>
              <w14:schemeClr w14:val="tx1"/>
            </w14:solidFill>
          </w14:textFill>
        </w:rPr>
        <w:t>引导企业开展智能制造和产品质量提升行动，提升企业质量管理和数字化管理水平，</w:t>
      </w:r>
      <w:r>
        <w:rPr>
          <w:rFonts w:eastAsia="仿宋_GB2312"/>
          <w:color w:val="000000" w:themeColor="text1"/>
          <w:sz w:val="32"/>
          <w:szCs w:val="32"/>
          <w14:textFill>
            <w14:solidFill>
              <w14:schemeClr w14:val="tx1"/>
            </w14:solidFill>
          </w14:textFill>
        </w:rPr>
        <w:t>推进小微企业园高质量发展</w:t>
      </w:r>
      <w:r>
        <w:rPr>
          <w:rFonts w:hint="eastAsia" w:eastAsia="仿宋_GB2312"/>
          <w:color w:val="000000" w:themeColor="text1"/>
          <w:sz w:val="32"/>
          <w:szCs w:val="32"/>
          <w14:textFill>
            <w14:solidFill>
              <w14:schemeClr w14:val="tx1"/>
            </w14:solidFill>
          </w14:textFill>
        </w:rPr>
        <w:t>。</w:t>
      </w:r>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数字赋能，规划丽水智造未来产业。</w:t>
      </w:r>
      <w:r>
        <w:rPr>
          <w:rFonts w:hint="eastAsia" w:ascii="Times New Roman" w:hAnsi="Times New Roman" w:eastAsia="仿宋_GB2312" w:cs="Times New Roman"/>
          <w:color w:val="000000" w:themeColor="text1"/>
          <w:sz w:val="32"/>
          <w:szCs w:val="32"/>
          <w14:textFill>
            <w14:solidFill>
              <w14:schemeClr w14:val="tx1"/>
            </w14:solidFill>
          </w14:textFill>
        </w:rPr>
        <w:t>高起点建设数字绿谷，聚焦</w:t>
      </w:r>
      <w:bookmarkStart w:id="15" w:name="_Hlk66976024"/>
      <w:r>
        <w:rPr>
          <w:rFonts w:ascii="Times New Roman" w:hAnsi="Times New Roman" w:eastAsia="仿宋_GB2312" w:cs="Times New Roman"/>
          <w:color w:val="000000" w:themeColor="text1"/>
          <w:sz w:val="32"/>
          <w:szCs w:val="32"/>
          <w14:textFill>
            <w14:solidFill>
              <w14:schemeClr w14:val="tx1"/>
            </w14:solidFill>
          </w14:textFill>
        </w:rPr>
        <w:t>半导体、精密制造、健康医药、时尚产业、数字经济</w:t>
      </w:r>
      <w:bookmarkEnd w:id="15"/>
      <w:bookmarkStart w:id="16" w:name="_Hlk66895931"/>
      <w:r>
        <w:rPr>
          <w:rFonts w:hint="eastAsia" w:ascii="Times New Roman" w:hAnsi="Times New Roman" w:eastAsia="仿宋_GB2312" w:cs="Times New Roman"/>
          <w:color w:val="000000" w:themeColor="text1"/>
          <w:sz w:val="32"/>
          <w:szCs w:val="32"/>
          <w14:textFill>
            <w14:solidFill>
              <w14:schemeClr w14:val="tx1"/>
            </w14:solidFill>
          </w14:textFill>
        </w:rPr>
        <w:t>等</w:t>
      </w:r>
      <w:r>
        <w:rPr>
          <w:rFonts w:ascii="Times New Roman" w:hAnsi="Times New Roman" w:eastAsia="仿宋_GB2312" w:cs="Times New Roman"/>
          <w:color w:val="000000" w:themeColor="text1"/>
          <w:sz w:val="32"/>
          <w:szCs w:val="32"/>
          <w14:textFill>
            <w14:solidFill>
              <w14:schemeClr w14:val="tx1"/>
            </w14:solidFill>
          </w14:textFill>
        </w:rPr>
        <w:t>“五大产业</w:t>
      </w:r>
      <w:r>
        <w:rPr>
          <w:rFonts w:hint="eastAsia" w:ascii="Times New Roman" w:hAnsi="Times New Roman" w:eastAsia="仿宋_GB2312" w:cs="Times New Roman"/>
          <w:color w:val="000000" w:themeColor="text1"/>
          <w:sz w:val="32"/>
          <w:szCs w:val="32"/>
          <w14:textFill>
            <w14:solidFill>
              <w14:schemeClr w14:val="tx1"/>
            </w14:solidFill>
          </w14:textFill>
        </w:rPr>
        <w:t>集群</w:t>
      </w:r>
      <w:r>
        <w:rPr>
          <w:rFonts w:ascii="Times New Roman" w:hAnsi="Times New Roman" w:eastAsia="仿宋_GB2312" w:cs="Times New Roman"/>
          <w:color w:val="000000" w:themeColor="text1"/>
          <w:sz w:val="32"/>
          <w:szCs w:val="32"/>
          <w14:textFill>
            <w14:solidFill>
              <w14:schemeClr w14:val="tx1"/>
            </w14:solidFill>
          </w14:textFill>
        </w:rPr>
        <w:t>”</w:t>
      </w:r>
      <w:bookmarkEnd w:id="16"/>
      <w:r>
        <w:rPr>
          <w:rFonts w:ascii="Times New Roman" w:hAnsi="Times New Roman" w:eastAsia="仿宋_GB2312" w:cs="Times New Roman"/>
          <w:color w:val="000000" w:themeColor="text1"/>
          <w:sz w:val="32"/>
          <w:szCs w:val="32"/>
          <w14:textFill>
            <w14:solidFill>
              <w14:schemeClr w14:val="tx1"/>
            </w14:solidFill>
          </w14:textFill>
        </w:rPr>
        <w:t>，运用</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互联网+</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标准化+</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机器人+</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工业设计+</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等手段，推进</w:t>
      </w:r>
      <w:r>
        <w:rPr>
          <w:rFonts w:hint="eastAsia" w:eastAsia="仿宋_GB2312"/>
          <w:color w:val="000000" w:themeColor="text1"/>
          <w:sz w:val="32"/>
          <w:szCs w:val="32"/>
          <w14:textFill>
            <w14:solidFill>
              <w14:schemeClr w14:val="tx1"/>
            </w14:solidFill>
          </w14:textFill>
        </w:rPr>
        <w:t>生产装备</w:t>
      </w:r>
      <w:r>
        <w:rPr>
          <w:rFonts w:ascii="Times New Roman" w:hAnsi="Times New Roman" w:eastAsia="仿宋_GB2312" w:cs="Times New Roman"/>
          <w:color w:val="000000" w:themeColor="text1"/>
          <w:sz w:val="32"/>
          <w:szCs w:val="32"/>
          <w14:textFill>
            <w14:solidFill>
              <w14:schemeClr w14:val="tx1"/>
            </w14:solidFill>
          </w14:textFill>
        </w:rPr>
        <w:t>数字化改造，提升产业数字化应用，产业园区及产业集群等实现数字化改造全覆盖，实现产业协同，发展数字化产业，支撑产业整体质量能力提升。实施生态工业</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五个倍增</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十个显著提升</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五个快速壮大</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工程；瞄准生物技术、新材料、人工智能、5G、新能源等前沿领域</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加快培育具有丽水特色的战略性新兴产业和未来产业。</w:t>
      </w:r>
    </w:p>
    <w:p>
      <w:pPr>
        <w:pStyle w:val="3"/>
        <w:spacing w:line="580" w:lineRule="exact"/>
        <w:ind w:left="0" w:firstLine="643" w:firstLineChars="200"/>
        <w:textAlignment w:val="baseline"/>
        <w:rPr>
          <w:rFonts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b/>
          <w:bCs/>
          <w:color w:val="000000" w:themeColor="text1"/>
          <w:kern w:val="0"/>
          <w:sz w:val="32"/>
          <w:szCs w:val="32"/>
          <w14:textFill>
            <w14:solidFill>
              <w14:schemeClr w14:val="tx1"/>
            </w14:solidFill>
          </w14:textFill>
        </w:rPr>
        <w:t>科技支撑，推进绿色农业高质量发展。</w:t>
      </w:r>
      <w:r>
        <w:rPr>
          <w:rFonts w:eastAsia="仿宋_GB2312"/>
          <w:color w:val="000000" w:themeColor="text1"/>
          <w:sz w:val="32"/>
          <w:szCs w:val="32"/>
          <w14:textFill>
            <w14:solidFill>
              <w14:schemeClr w14:val="tx1"/>
            </w14:solidFill>
          </w14:textFill>
        </w:rPr>
        <w:t>实施农业科技创新行动计划</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推广应用现代农业新技术新成果新模式，打造全国领先的品质农业示范区。深入实施藏粮于地、藏粮于技战略，提升粮食生产功能区建设水平，保障粮食、生猪等主要农产品供应安全</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发展现代高端农业、传统农耕与现代技术有机衔接的生态精品农业，塑造丽水现代农业体系。推动整合市域农业科研资源，加强农业科技人才队伍建设，强化与农业领域科研院所合作，实施科技特派员“扎根”行动。深化农业供给侧结构性改革，推出一批具有较强规模效应和市场竞争力的拳头产品，重点打造若干具有地域代表性的现代农业全产业链。大力提升农业科研创新水平</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开展关键技术攻关</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加强种质资源保护开发，建设具有浙西南特色的现代育种基地。全面提升农业装备现代化水平，建设农业现代化示范区。</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3"/>
              <w:spacing w:line="580" w:lineRule="exact"/>
              <w:ind w:left="0" w:firstLine="0"/>
              <w:jc w:val="center"/>
              <w:textAlignment w:val="baseline"/>
              <w:rPr>
                <w:rFonts w:ascii="宋体" w:hAnsi="宋体" w:eastAsia="宋体" w:cs="Times New Roman"/>
                <w:color w:val="000000" w:themeColor="text1"/>
                <w:kern w:val="0"/>
                <w:sz w:val="30"/>
                <w:szCs w:val="30"/>
                <w14:textFill>
                  <w14:solidFill>
                    <w14:schemeClr w14:val="tx1"/>
                  </w14:solidFill>
                </w14:textFill>
              </w:rPr>
            </w:pPr>
            <w:r>
              <w:rPr>
                <w:rFonts w:hint="eastAsia" w:ascii="楷体_GB2312" w:hAnsi="楷体_GB2312" w:eastAsia="楷体_GB2312" w:cs="楷体_GB2312"/>
                <w:b/>
                <w:bCs/>
                <w:color w:val="000000" w:themeColor="text1"/>
                <w:kern w:val="0"/>
                <w:sz w:val="24"/>
                <w:szCs w:val="24"/>
                <w14:textFill>
                  <w14:solidFill>
                    <w14:schemeClr w14:val="tx1"/>
                  </w14:solidFill>
                </w14:textFill>
              </w:rPr>
              <w:t>专栏3-1：推进丽水智造重点工作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传统产业数字化改造工程。</w:t>
            </w:r>
            <w:r>
              <w:rPr>
                <w:rFonts w:hint="eastAsia" w:ascii="仿宋_GB2312" w:hAnsi="仿宋_GB2312" w:eastAsia="仿宋_GB2312" w:cs="仿宋_GB2312"/>
                <w:color w:val="000000" w:themeColor="text1"/>
                <w14:textFill>
                  <w14:solidFill>
                    <w14:schemeClr w14:val="tx1"/>
                  </w14:solidFill>
                </w14:textFill>
              </w:rPr>
              <w:t>到2025年末，新建小微企业园总数达50个以上。实施“雏鹰行动”，培育中小微企业“专精特新”发展，形成一批“专精特新”小巨人和制造业单项冠军企业（产品）。到2025年，规上工业企业达到1600家，新增科技型小微企业1000家以上。实施“雄鹰行动”，落实“一企一策”，打造具有较强国际竞争力的世界一流企业。到2025年，力争纳入“雄鹰行动”培育企业达到5家。深入实施“凤凰行动”，力争到2025年上市公司累计达到15家。</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数字赋能丽水智造工程。</w:t>
            </w:r>
            <w:r>
              <w:rPr>
                <w:rFonts w:hint="eastAsia" w:ascii="仿宋_GB2312" w:hAnsi="仿宋_GB2312" w:eastAsia="仿宋_GB2312" w:cs="仿宋_GB2312"/>
                <w:color w:val="000000" w:themeColor="text1"/>
                <w14:textFill>
                  <w14:solidFill>
                    <w14:schemeClr w14:val="tx1"/>
                  </w14:solidFill>
                </w14:textFill>
              </w:rPr>
              <w:t>聚焦数字经济战略新兴产业，引入数字化企业和供应商，到2025年累计实现技术改造投资500亿元以上，推广工业机器人2000台以上，建设数字化车间/智能工厂30个以上，推动企业上云、深度用云，推进先进制造产业高质量发展。</w:t>
            </w:r>
          </w:p>
          <w:p>
            <w:pPr>
              <w:spacing w:line="400" w:lineRule="exact"/>
              <w:ind w:firstLine="482" w:firstLineChars="200"/>
              <w:textAlignment w:val="baseline"/>
              <w:rPr>
                <w:rFonts w:cs="Times New Roman"/>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科技支撑农业高质量发展。</w:t>
            </w:r>
            <w:r>
              <w:rPr>
                <w:rFonts w:hint="eastAsia" w:ascii="仿宋_GB2312" w:hAnsi="仿宋_GB2312" w:eastAsia="仿宋_GB2312" w:cs="仿宋_GB2312"/>
                <w:color w:val="000000" w:themeColor="text1"/>
                <w14:textFill>
                  <w14:solidFill>
                    <w14:schemeClr w14:val="tx1"/>
                  </w14:solidFill>
                </w14:textFill>
              </w:rPr>
              <w:t>聚焦九大主导产业，推动现代农业生态化生产、基地化布局、标准化管理、品牌化经营、电商化营销，建设一批绿色有机农林牧渔产品基地，打造全国领先的品质农业示范区。谋划建设农产品精深加工基地，加快建设一批综合型农产品加工物流园区和区域性骨干市场，培育提升一批竹木、果蔬、中药材等专业市场，推动线上线下市场融合升级。积极开展水产绿色健康养殖“五大行动”。持续开展渔业健康养殖示范创建、美丽牧场建设和生态茶园、精品果园、放心菜园、特色菌园、道地药园等“五园”示范创建。到2025年末，力争主要食用农产品质量安全例行抽检合格率（“种养环节”）稳定在99%以上，区域性、系统性重大食品安全风险基本得到控制；力争新创建省级精品绿色农产品基地5个，每年净增加绿色食品35个以上，每年新培育农产品地理标志1个以上。</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17" w:name="_Toc79779432"/>
      <w:r>
        <w:rPr>
          <w:rFonts w:ascii="Times New Roman" w:hAnsi="Times New Roman" w:eastAsia="楷体_GB2312" w:cs="Times New Roman"/>
          <w:b w:val="0"/>
          <w:color w:val="000000" w:themeColor="text1"/>
          <w14:textFill>
            <w14:solidFill>
              <w14:schemeClr w14:val="tx1"/>
            </w14:solidFill>
          </w14:textFill>
        </w:rPr>
        <w:t>（二）推进“丽水智造”标准建设</w:t>
      </w:r>
      <w:bookmarkEnd w:id="17"/>
    </w:p>
    <w:p>
      <w:pPr>
        <w:spacing w:line="580" w:lineRule="exact"/>
        <w:ind w:firstLine="643" w:firstLineChars="200"/>
        <w:textAlignment w:val="baseline"/>
        <w:rPr>
          <w:rFonts w:ascii="Times New Roman" w:hAnsi="Times New Roman" w:eastAsia="仿宋_GB2312" w:cs="Times New Roman"/>
          <w:bCs/>
          <w:color w:val="000000" w:themeColor="text1"/>
          <w:kern w:val="2"/>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加快</w:t>
      </w:r>
      <w:r>
        <w:rPr>
          <w:rFonts w:hint="eastAsia" w:eastAsia="仿宋_GB2312"/>
          <w:b/>
          <w:color w:val="000000" w:themeColor="text1"/>
          <w:kern w:val="2"/>
          <w:sz w:val="32"/>
          <w:szCs w:val="32"/>
          <w14:textFill>
            <w14:solidFill>
              <w14:schemeClr w14:val="tx1"/>
            </w14:solidFill>
          </w14:textFill>
        </w:rPr>
        <w:t>推进</w:t>
      </w:r>
      <w:r>
        <w:rPr>
          <w:rFonts w:eastAsia="仿宋_GB2312"/>
          <w:b/>
          <w:color w:val="000000" w:themeColor="text1"/>
          <w:kern w:val="2"/>
          <w:sz w:val="32"/>
          <w:szCs w:val="32"/>
          <w14:textFill>
            <w14:solidFill>
              <w14:schemeClr w14:val="tx1"/>
            </w14:solidFill>
          </w14:textFill>
        </w:rPr>
        <w:t>生态农业标准</w:t>
      </w:r>
      <w:r>
        <w:rPr>
          <w:rFonts w:hint="eastAsia" w:eastAsia="仿宋_GB2312"/>
          <w:b/>
          <w:color w:val="000000" w:themeColor="text1"/>
          <w:sz w:val="32"/>
          <w:szCs w:val="32"/>
          <w14:textFill>
            <w14:solidFill>
              <w14:schemeClr w14:val="tx1"/>
            </w14:solidFill>
          </w14:textFill>
        </w:rPr>
        <w:t>化建设</w:t>
      </w:r>
      <w:r>
        <w:rPr>
          <w:rFonts w:eastAsia="仿宋_GB2312"/>
          <w:b/>
          <w:color w:val="000000" w:themeColor="text1"/>
          <w:kern w:val="2"/>
          <w:sz w:val="32"/>
          <w:szCs w:val="32"/>
          <w14:textFill>
            <w14:solidFill>
              <w14:schemeClr w14:val="tx1"/>
            </w14:solidFill>
          </w14:textFill>
        </w:rPr>
        <w:t>。</w:t>
      </w:r>
      <w:r>
        <w:rPr>
          <w:rFonts w:hint="eastAsia" w:eastAsia="仿宋_GB2312"/>
          <w:bCs/>
          <w:color w:val="000000" w:themeColor="text1"/>
          <w:sz w:val="32"/>
          <w:szCs w:val="32"/>
          <w14:textFill>
            <w14:solidFill>
              <w14:schemeClr w14:val="tx1"/>
            </w14:solidFill>
          </w14:textFill>
        </w:rPr>
        <w:t>以数字化改革和乡村振兴为引领，率先开展数字乡村标准体系研究，引领乡村数字化建设，打造美丽乡村升级版。以红绿融合为焦点，研究制定红色乡村建设系列标准，开展红色乡村标准化试点建设。构建特色农产品全产业链标准体系，对标欧盟，研究制定绿</w:t>
      </w:r>
      <w:r>
        <w:rPr>
          <w:rFonts w:eastAsia="仿宋_GB2312"/>
          <w:bCs/>
          <w:color w:val="000000" w:themeColor="text1"/>
          <w:sz w:val="32"/>
          <w:szCs w:val="32"/>
          <w14:textFill>
            <w14:solidFill>
              <w14:schemeClr w14:val="tx1"/>
            </w14:solidFill>
          </w14:textFill>
        </w:rPr>
        <w:t>色高效农业</w:t>
      </w:r>
      <w:r>
        <w:rPr>
          <w:rFonts w:hint="eastAsia" w:eastAsia="仿宋_GB2312"/>
          <w:bCs/>
          <w:color w:val="000000" w:themeColor="text1"/>
          <w:sz w:val="32"/>
          <w:szCs w:val="32"/>
          <w14:textFill>
            <w14:solidFill>
              <w14:schemeClr w14:val="tx1"/>
            </w14:solidFill>
          </w14:textFill>
        </w:rPr>
        <w:t>标准</w:t>
      </w:r>
      <w:r>
        <w:rPr>
          <w:rFonts w:eastAsia="仿宋_GB2312"/>
          <w:bCs/>
          <w:color w:val="000000" w:themeColor="text1"/>
          <w:sz w:val="32"/>
          <w:szCs w:val="32"/>
          <w14:textFill>
            <w14:solidFill>
              <w14:schemeClr w14:val="tx1"/>
            </w14:solidFill>
          </w14:textFill>
        </w:rPr>
        <w:t>，围绕茶叶、畜牧、水果、食用菌、蔬菜、中药材、笋竹、油茶（木本油料）、渔业等丽水九大农业主导产业，加快制定国内领先的生态农业标准。大力实施农业标准化试点示范项目，鼓励产业协会、学会、农民专业合作社制定具有丽水特色的团体标准，完善农业标准实施、信息服务、品牌创建、市场开拓等全过程标准化链条，促进农业供给侧结构性改革。进一步完善“丽水山耕”标准体系，扩大品牌影响力，提升产品附加值。</w:t>
      </w:r>
    </w:p>
    <w:p>
      <w:pPr>
        <w:spacing w:line="580" w:lineRule="exact"/>
        <w:ind w:firstLine="643" w:firstLineChars="200"/>
        <w:textAlignment w:val="baseline"/>
        <w:rPr>
          <w:rFonts w:ascii="Times New Roman" w:hAnsi="Times New Roman" w:eastAsia="仿宋_GB2312" w:cs="Times New Roman"/>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持续加强</w:t>
      </w:r>
      <w:r>
        <w:rPr>
          <w:rFonts w:eastAsia="仿宋_GB2312"/>
          <w:b/>
          <w:color w:val="000000" w:themeColor="text1"/>
          <w:sz w:val="32"/>
          <w:szCs w:val="32"/>
          <w14:textFill>
            <w14:solidFill>
              <w14:schemeClr w14:val="tx1"/>
            </w14:solidFill>
          </w14:textFill>
        </w:rPr>
        <w:t>生态工业标准</w:t>
      </w:r>
      <w:r>
        <w:rPr>
          <w:rFonts w:hint="eastAsia" w:eastAsia="仿宋_GB2312"/>
          <w:b/>
          <w:color w:val="000000" w:themeColor="text1"/>
          <w:sz w:val="32"/>
          <w:szCs w:val="32"/>
          <w14:textFill>
            <w14:solidFill>
              <w14:schemeClr w14:val="tx1"/>
            </w14:solidFill>
          </w14:textFill>
        </w:rPr>
        <w:t>化建设</w:t>
      </w:r>
      <w:r>
        <w:rPr>
          <w:rFonts w:eastAsia="仿宋_GB2312"/>
          <w:b/>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以国际先进水平为标杆，围绕特色优势产业、新兴产业、绿色制造和智能制造等领域研制的先进的生态工业标准，支撑生态工业“第一经济”发展壮大。</w:t>
      </w:r>
      <w:r>
        <w:rPr>
          <w:rFonts w:hint="eastAsia" w:eastAsia="仿宋_GB2312"/>
          <w:color w:val="000000" w:themeColor="text1"/>
          <w:sz w:val="32"/>
          <w:szCs w:val="32"/>
          <w14:textFill>
            <w14:solidFill>
              <w14:schemeClr w14:val="tx1"/>
            </w14:solidFill>
          </w14:textFill>
        </w:rPr>
        <w:t>积极推进数字经济标准研制，引导企业数字化转型，全产业链提升。围绕五大领域和新兴产业，深挖丽水优势特色和隐形冠军，鼓励</w:t>
      </w:r>
      <w:r>
        <w:rPr>
          <w:rFonts w:eastAsia="仿宋_GB2312"/>
          <w:color w:val="000000" w:themeColor="text1"/>
          <w:sz w:val="32"/>
          <w:szCs w:val="32"/>
          <w14:textFill>
            <w14:solidFill>
              <w14:schemeClr w14:val="tx1"/>
            </w14:solidFill>
          </w14:textFill>
        </w:rPr>
        <w:t>引导企业</w:t>
      </w:r>
      <w:r>
        <w:rPr>
          <w:rFonts w:hint="eastAsia" w:eastAsia="仿宋_GB2312"/>
          <w:color w:val="000000" w:themeColor="text1"/>
          <w:sz w:val="32"/>
          <w:szCs w:val="32"/>
          <w14:textFill>
            <w14:solidFill>
              <w14:schemeClr w14:val="tx1"/>
            </w14:solidFill>
          </w14:textFill>
        </w:rPr>
        <w:t>积极参与</w:t>
      </w:r>
      <w:r>
        <w:rPr>
          <w:rFonts w:eastAsia="仿宋_GB2312"/>
          <w:color w:val="000000" w:themeColor="text1"/>
          <w:sz w:val="32"/>
          <w:szCs w:val="32"/>
          <w14:textFill>
            <w14:solidFill>
              <w14:schemeClr w14:val="tx1"/>
            </w14:solidFill>
          </w14:textFill>
        </w:rPr>
        <w:t>制定“浙江制造”标准，</w:t>
      </w:r>
      <w:r>
        <w:rPr>
          <w:rFonts w:hint="eastAsia" w:eastAsia="仿宋_GB2312"/>
          <w:color w:val="000000" w:themeColor="text1"/>
          <w:sz w:val="32"/>
          <w:szCs w:val="32"/>
          <w14:textFill>
            <w14:solidFill>
              <w14:schemeClr w14:val="tx1"/>
            </w14:solidFill>
          </w14:textFill>
        </w:rPr>
        <w:t>培</w:t>
      </w:r>
      <w:r>
        <w:rPr>
          <w:rFonts w:eastAsia="仿宋_GB2312"/>
          <w:color w:val="000000" w:themeColor="text1"/>
          <w:sz w:val="32"/>
          <w:szCs w:val="32"/>
          <w14:textFill>
            <w14:solidFill>
              <w14:schemeClr w14:val="tx1"/>
            </w14:solidFill>
          </w14:textFill>
        </w:rPr>
        <w:t>育一批企业标准“领跑者”，推动产业技术联盟协同开展团体标准研制，抢占技术标准话语权。组织实施丽水工业标准化和质量提升计划，推进供给侧结构性改革，打造“生态制造”的丽水样本。</w:t>
      </w:r>
      <w:r>
        <w:rPr>
          <w:rFonts w:hint="eastAsia" w:eastAsia="仿宋_GB2312"/>
          <w:color w:val="000000" w:themeColor="text1"/>
          <w:sz w:val="32"/>
          <w:szCs w:val="32"/>
          <w14:textFill>
            <w14:solidFill>
              <w14:schemeClr w14:val="tx1"/>
            </w14:solidFill>
          </w14:textFill>
        </w:rPr>
        <w:t>鼓励标准国际化，引导企业采用国际标准，对标国际，实现产业提升。</w:t>
      </w:r>
    </w:p>
    <w:tbl>
      <w:tblPr>
        <w:tblStyle w:val="20"/>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1"/>
        <w:gridCol w:w="6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vAlign w:val="center"/>
          </w:tcPr>
          <w:p>
            <w:pPr>
              <w:spacing w:line="580" w:lineRule="exact"/>
              <w:ind w:firstLine="482" w:firstLineChars="200"/>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专栏3-2：现代产业标准体系重点领域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重点领域</w:t>
            </w:r>
          </w:p>
        </w:tc>
        <w:tc>
          <w:tcPr>
            <w:tcW w:w="6971"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重要标准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1501"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生态农业</w:t>
            </w:r>
          </w:p>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标准</w:t>
            </w:r>
          </w:p>
        </w:tc>
        <w:tc>
          <w:tcPr>
            <w:tcW w:w="6971" w:type="dxa"/>
            <w:vAlign w:val="center"/>
          </w:tcPr>
          <w:p>
            <w:pPr>
              <w:spacing w:line="400" w:lineRule="exact"/>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rPr>
              <w:t>特色农产品全产业链标准综合体，包括产地环境、品种种质、投入品管控、田间管控、病虫害防控、采收标准、储运保鲜、包装标识等标准。品种选育、投入品管控、养殖管理、疫病防控、储存运输标准（养殖过程）、屠宰冷链等标准。 数字乡村、红色乡村、花园乡村、城乡融合、新农村建设、农村社会治理、农业金融服务、农业信息服务等标准。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501"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生态工业</w:t>
            </w:r>
          </w:p>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标准</w:t>
            </w:r>
          </w:p>
        </w:tc>
        <w:tc>
          <w:tcPr>
            <w:tcW w:w="6971" w:type="dxa"/>
            <w:vAlign w:val="center"/>
          </w:tcPr>
          <w:p>
            <w:pPr>
              <w:pStyle w:val="12"/>
              <w:spacing w:line="400" w:lineRule="exact"/>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半导体、精密制造、健康医药、时尚产业、数字经济、工业机器人、高效节能电机、热泵技术装备、智能电网装备、新型不锈钢、工模具钢、特种合金材料、绿色产品、绿色工厂、绿色企业、绿色园区、绿色供应链、美丽园区、智能化工厂、数字化车间、智慧仓储等标准。</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18" w:name="_Hlk67084064"/>
      <w:bookmarkStart w:id="19" w:name="_Toc79779433"/>
      <w:r>
        <w:rPr>
          <w:rFonts w:ascii="Times New Roman" w:hAnsi="Times New Roman" w:eastAsia="楷体_GB2312" w:cs="Times New Roman"/>
          <w:b w:val="0"/>
          <w:color w:val="000000" w:themeColor="text1"/>
          <w14:textFill>
            <w14:solidFill>
              <w14:schemeClr w14:val="tx1"/>
            </w14:solidFill>
          </w14:textFill>
        </w:rPr>
        <w:t>（三）强化</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丽水智造</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品牌</w:t>
      </w:r>
      <w:bookmarkEnd w:id="18"/>
      <w:r>
        <w:rPr>
          <w:rFonts w:ascii="Times New Roman" w:hAnsi="Times New Roman" w:eastAsia="楷体_GB2312" w:cs="Times New Roman"/>
          <w:b w:val="0"/>
          <w:color w:val="000000" w:themeColor="text1"/>
          <w14:textFill>
            <w14:solidFill>
              <w14:schemeClr w14:val="tx1"/>
            </w14:solidFill>
          </w14:textFill>
        </w:rPr>
        <w:t>培育</w:t>
      </w:r>
      <w:bookmarkEnd w:id="19"/>
    </w:p>
    <w:p>
      <w:pPr>
        <w:pStyle w:val="17"/>
        <w:spacing w:before="0" w:beforeAutospacing="0" w:after="0" w:afterAutospacing="0"/>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夯实</w:t>
      </w:r>
      <w:bookmarkStart w:id="20" w:name="_Hlk67084241"/>
      <w:r>
        <w:rPr>
          <w:rFonts w:hint="eastAsia" w:ascii="仿宋_GB2312" w:hAnsi="仿宋_GB2312" w:eastAsia="仿宋_GB2312" w:cs="仿宋_GB2312"/>
          <w:b/>
          <w:bCs/>
          <w:color w:val="000000" w:themeColor="text1"/>
          <w:sz w:val="32"/>
          <w:szCs w:val="32"/>
          <w14:textFill>
            <w14:solidFill>
              <w14:schemeClr w14:val="tx1"/>
            </w14:solidFill>
          </w14:textFill>
        </w:rPr>
        <w:t>“品字标浙江制造”</w:t>
      </w:r>
      <w:bookmarkEnd w:id="20"/>
      <w:r>
        <w:rPr>
          <w:rFonts w:hint="eastAsia" w:ascii="仿宋_GB2312" w:hAnsi="仿宋_GB2312" w:eastAsia="仿宋_GB2312" w:cs="仿宋_GB2312"/>
          <w:b/>
          <w:bCs/>
          <w:color w:val="000000" w:themeColor="text1"/>
          <w:sz w:val="32"/>
          <w:szCs w:val="32"/>
          <w14:textFill>
            <w14:solidFill>
              <w14:schemeClr w14:val="tx1"/>
            </w14:solidFill>
          </w14:textFill>
        </w:rPr>
        <w:t>品牌培育基础。</w:t>
      </w:r>
      <w:r>
        <w:rPr>
          <w:rFonts w:hint="eastAsia" w:ascii="仿宋_GB2312" w:hAnsi="仿宋_GB2312" w:eastAsia="仿宋_GB2312" w:cs="仿宋_GB2312"/>
          <w:color w:val="000000" w:themeColor="text1"/>
          <w:sz w:val="32"/>
          <w:szCs w:val="32"/>
          <w14:textFill>
            <w14:solidFill>
              <w14:schemeClr w14:val="tx1"/>
            </w14:solidFill>
          </w14:textFill>
        </w:rPr>
        <w:t>引导企业建立以质量为核心的品牌发展战略，挖掘一批有竞争力的“浙江制造”品牌，制定“十四五”期间“品字标浙江制造”品牌梯队培育计划，重点指导企业导入</w:t>
      </w:r>
      <w:bookmarkStart w:id="21" w:name="_Hlk67083898"/>
      <w:r>
        <w:rPr>
          <w:rFonts w:hint="eastAsia" w:ascii="仿宋_GB2312" w:hAnsi="仿宋_GB2312" w:eastAsia="仿宋_GB2312" w:cs="仿宋_GB2312"/>
          <w:color w:val="000000" w:themeColor="text1"/>
          <w:sz w:val="32"/>
          <w:szCs w:val="32"/>
          <w14:textFill>
            <w14:solidFill>
              <w14:schemeClr w14:val="tx1"/>
            </w14:solidFill>
          </w14:textFill>
        </w:rPr>
        <w:t>卓越绩效</w:t>
      </w:r>
      <w:bookmarkEnd w:id="21"/>
      <w:r>
        <w:rPr>
          <w:rFonts w:hint="eastAsia" w:ascii="仿宋_GB2312" w:hAnsi="仿宋_GB2312" w:eastAsia="仿宋_GB2312" w:cs="仿宋_GB2312"/>
          <w:color w:val="000000" w:themeColor="text1"/>
          <w:sz w:val="32"/>
          <w:szCs w:val="32"/>
          <w14:textFill>
            <w14:solidFill>
              <w14:schemeClr w14:val="tx1"/>
            </w14:solidFill>
          </w14:textFill>
        </w:rPr>
        <w:t>、</w:t>
      </w:r>
      <w:bookmarkStart w:id="22" w:name="_Hlk67083924"/>
      <w:r>
        <w:rPr>
          <w:rFonts w:hint="eastAsia" w:ascii="仿宋_GB2312" w:hAnsi="仿宋_GB2312" w:eastAsia="仿宋_GB2312" w:cs="仿宋_GB2312"/>
          <w:color w:val="000000" w:themeColor="text1"/>
          <w:sz w:val="32"/>
          <w:szCs w:val="32"/>
          <w14:textFill>
            <w14:solidFill>
              <w14:schemeClr w14:val="tx1"/>
            </w14:solidFill>
          </w14:textFill>
        </w:rPr>
        <w:t>精益生产</w:t>
      </w:r>
      <w:bookmarkEnd w:id="22"/>
      <w:r>
        <w:rPr>
          <w:rFonts w:hint="eastAsia" w:ascii="仿宋_GB2312" w:hAnsi="仿宋_GB2312" w:eastAsia="仿宋_GB2312" w:cs="仿宋_GB2312"/>
          <w:color w:val="000000" w:themeColor="text1"/>
          <w:sz w:val="32"/>
          <w:szCs w:val="32"/>
          <w14:textFill>
            <w14:solidFill>
              <w14:schemeClr w14:val="tx1"/>
            </w14:solidFill>
          </w14:textFill>
        </w:rPr>
        <w:t>、</w:t>
      </w:r>
      <w:bookmarkStart w:id="23" w:name="_Hlk67083970"/>
      <w:r>
        <w:rPr>
          <w:rFonts w:hint="eastAsia" w:ascii="仿宋_GB2312" w:hAnsi="仿宋_GB2312" w:eastAsia="仿宋_GB2312" w:cs="仿宋_GB2312"/>
          <w:color w:val="000000" w:themeColor="text1"/>
          <w:sz w:val="32"/>
          <w:szCs w:val="32"/>
          <w14:textFill>
            <w14:solidFill>
              <w14:schemeClr w14:val="tx1"/>
            </w14:solidFill>
          </w14:textFill>
        </w:rPr>
        <w:t>5S现场管理</w:t>
      </w:r>
      <w:bookmarkEnd w:id="23"/>
      <w:r>
        <w:rPr>
          <w:rFonts w:hint="eastAsia" w:ascii="仿宋_GB2312" w:hAnsi="仿宋_GB2312" w:eastAsia="仿宋_GB2312" w:cs="仿宋_GB2312"/>
          <w:color w:val="000000" w:themeColor="text1"/>
          <w:sz w:val="32"/>
          <w:szCs w:val="32"/>
          <w14:textFill>
            <w14:solidFill>
              <w14:schemeClr w14:val="tx1"/>
            </w14:solidFill>
          </w14:textFill>
        </w:rPr>
        <w:t>等先进质量管理模式，变制造为创造、变贴牌为创牌。对标先进标准，提高产品质量控制和企业质量管理水平，培育创建质量标杆示范企业，新增一批国家级工业品牌培育示范企业、省政府质量奖企业。力争到2025年末，累计全市导入卓越绩效管理企业200家，导入精益生产企业400家，导入5S现场管理企业600家；100家企业纳入“品字标浙江制造”培育库；新增省政府质量奖企业1家。</w:t>
      </w:r>
    </w:p>
    <w:p>
      <w:pPr>
        <w:pStyle w:val="16"/>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做强“丽水山耕”区域公共品牌。</w:t>
      </w:r>
      <w:r>
        <w:rPr>
          <w:rFonts w:hint="eastAsia" w:ascii="仿宋_GB2312" w:hAnsi="仿宋_GB2312" w:eastAsia="仿宋_GB2312" w:cs="仿宋_GB2312"/>
          <w:color w:val="000000" w:themeColor="text1"/>
          <w:sz w:val="32"/>
          <w:szCs w:val="32"/>
          <w14:textFill>
            <w14:solidFill>
              <w14:schemeClr w14:val="tx1"/>
            </w14:solidFill>
          </w14:textFill>
        </w:rPr>
        <w:t>持续巩固“丽水山耕”品牌发展成果，对标欧盟，提升产品检测标准，逐步由认定向认证转变；建设“丽水山耕”品牌种养殖示范基地10个、精深加工示范企业30家、标准基地100个。打造具有一定市场认可度的市场拳头产品25款，特色产品100款，提升生态产品质量效益和市场竞争力；建成“丽水山耕”品牌核心供应链体系，以上海、杭州为重点的长三角市场格局基本形成，品牌产品市场占有率和品牌附加值显著提高；“丽水山耕”品牌信息化体系基本建成，打造“丽水山耕”品牌赋能乡村振兴项目2个，品牌+科技、品牌+旅游等融合发展路径得到有效拓展。</w:t>
      </w:r>
    </w:p>
    <w:p>
      <w:pPr>
        <w:pStyle w:val="16"/>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打响“丽水山泉”高附加值品牌。</w:t>
      </w:r>
      <w:r>
        <w:rPr>
          <w:rFonts w:hint="eastAsia" w:ascii="仿宋_GB2312" w:hAnsi="仿宋_GB2312" w:eastAsia="仿宋_GB2312" w:cs="仿宋_GB2312"/>
          <w:color w:val="000000" w:themeColor="text1"/>
          <w:sz w:val="32"/>
          <w:szCs w:val="32"/>
          <w14:textFill>
            <w14:solidFill>
              <w14:schemeClr w14:val="tx1"/>
            </w14:solidFill>
          </w14:textFill>
        </w:rPr>
        <w:t>盘活水资源，做大水产业，打响“丽水山泉”品牌，把水经济培育成为新的经济增长点。引进龙头企业，培育具有竞争力的本土企业，开发高端饮用水、医用针剂、美容护肤、生物萃取、健康日化、酒水软饮料等领域的高附加值涉水产品，构建具有丽水特色的涉水产业体系。设立水产业发展专项基金，成立中国水科院水生态环境研究所丽水研究中心，高水平打造华东优质水经济产业园。谋划实施跨区域输配水工程，推进优质水资源与长三角地区重要城市远程共享。</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实施“雄鹰行动”培育计划。</w:t>
      </w:r>
      <w:r>
        <w:rPr>
          <w:rFonts w:hint="eastAsia" w:ascii="仿宋_GB2312" w:hAnsi="仿宋_GB2312" w:eastAsia="仿宋_GB2312" w:cs="仿宋_GB2312"/>
          <w:color w:val="000000" w:themeColor="text1"/>
          <w:sz w:val="32"/>
          <w:szCs w:val="32"/>
          <w14:textFill>
            <w14:solidFill>
              <w14:schemeClr w14:val="tx1"/>
            </w14:solidFill>
          </w14:textFill>
        </w:rPr>
        <w:t>支持企业对标国际先进水平，突破核心技术，优化资本结构，加快并购重组，强化品牌建设，完善国际化布局，增强全球资源配置能力，深度融入全球产业链、价值链，成长为全球行业标杆。着力培育上市公司、高成长企业、单打冠军，完善促进中小微企业和个体工商户发展的政策体系，促进中小企业健康发展。到2025年，争取在册企业突破11万家，新培育上市、上规和省级隐形冠军企业分别达到8家、500家、10家以上。</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做强浙南生物医药品牌。</w:t>
      </w:r>
      <w:r>
        <w:rPr>
          <w:rFonts w:hint="eastAsia" w:ascii="仿宋_GB2312" w:hAnsi="仿宋_GB2312" w:eastAsia="仿宋_GB2312" w:cs="仿宋_GB2312"/>
          <w:color w:val="000000" w:themeColor="text1"/>
          <w:sz w:val="32"/>
          <w:szCs w:val="32"/>
          <w14:textFill>
            <w14:solidFill>
              <w14:schemeClr w14:val="tx1"/>
            </w14:solidFill>
          </w14:textFill>
        </w:rPr>
        <w:t>大力发展以药品、保健品和生物制品为重点的生物医药产业，高水平建设原能细胞千亩(大健康)生命科技走廊。壮大以绿色日化、消杀、植物香氛等健康医化用品产业，培育纳爱斯千亿级生态产业园。实施中药材和药用植物深度开发计划，大力提升中药产业发展水平。引进生物技术药、诊断试剂、生物医学工程产品以及缓释、控释、靶向等各类新型制剂企业，打造浙南闽北生物医药产业新高地。加快发展高端医疗器械、健康休闲等产业。到2025年，全市健康医药产值达到200亿元。</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24" w:name="_Toc79779434"/>
      <w:r>
        <w:rPr>
          <w:b w:val="0"/>
          <w:bCs w:val="0"/>
          <w:color w:val="000000" w:themeColor="text1"/>
          <w14:textFill>
            <w14:solidFill>
              <w14:schemeClr w14:val="tx1"/>
            </w14:solidFill>
          </w14:textFill>
        </w:rPr>
        <w:t>四、打造</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丽水服务</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高质量发展</w:t>
      </w:r>
      <w:bookmarkEnd w:id="24"/>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25" w:name="_Toc79779435"/>
      <w:r>
        <w:rPr>
          <w:rFonts w:ascii="Times New Roman" w:hAnsi="Times New Roman" w:eastAsia="楷体_GB2312" w:cs="Times New Roman"/>
          <w:b w:val="0"/>
          <w:color w:val="000000" w:themeColor="text1"/>
          <w14:textFill>
            <w14:solidFill>
              <w14:schemeClr w14:val="tx1"/>
            </w14:solidFill>
          </w14:textFill>
        </w:rPr>
        <w:t>（一）深化</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丽水服务</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高质量提升</w:t>
      </w:r>
      <w:bookmarkEnd w:id="25"/>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加快生产性服务业高质量发展。</w:t>
      </w:r>
      <w:r>
        <w:rPr>
          <w:rFonts w:hint="eastAsia" w:ascii="仿宋_GB2312" w:hAnsi="仿宋_GB2312" w:eastAsia="仿宋_GB2312" w:cs="仿宋_GB2312"/>
          <w:color w:val="000000" w:themeColor="text1"/>
          <w:sz w:val="32"/>
          <w:szCs w:val="32"/>
          <w14:textFill>
            <w14:solidFill>
              <w14:schemeClr w14:val="tx1"/>
            </w14:solidFill>
          </w14:textFill>
        </w:rPr>
        <w:t>以服务制造业高质量发展为导向，推进生产性服务业向专业化和价值链高端延伸，加快发展研发设计、现代物流、产业金融、节能环保、法律服务、中介咨询、会展经济、检验检测、软件与信息等生产性服务业。大力发展商务会展业，积极发展商务培训、营销服务、工程咨询、品牌策划等商务服务业。加快服务业数字化，推动金融科技、供应链金融、移动支付等新兴金融与传统金融深度融合。积极培育示范带动性强的两业融合试点区域和企业。</w:t>
      </w:r>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加快生活性服务业品质化发展。</w:t>
      </w:r>
      <w:r>
        <w:rPr>
          <w:rFonts w:hint="eastAsia" w:ascii="仿宋_GB2312" w:hAnsi="仿宋_GB2312" w:eastAsia="仿宋_GB2312" w:cs="仿宋_GB2312"/>
          <w:color w:val="000000" w:themeColor="text1"/>
          <w:sz w:val="32"/>
          <w:szCs w:val="32"/>
          <w14:textFill>
            <w14:solidFill>
              <w14:schemeClr w14:val="tx1"/>
            </w14:solidFill>
          </w14:textFill>
        </w:rPr>
        <w:t>推进生活性服务业向高品质和多样化升级，积极培育健康养老、现代商贸、教育培训、体育休闲等服务业态，大力培育智慧服务、体验服务、定制服务、共享服务等新型业态，加强公益性、基础性服务供给。发展西餐、咖啡、红酒、画室书吧、茶舍陶艺等时尚业态，着力打造欧洲风情走廊、万国风情园、中国咖啡城等具有影响力的生活服务新场景。加快五星级酒店、大型商业综合体等项目建设，到</w:t>
      </w:r>
      <w:r>
        <w:rPr>
          <w:rFonts w:ascii="仿宋_GB2312" w:hAnsi="仿宋_GB2312" w:eastAsia="仿宋_GB2312" w:cs="仿宋_GB2312"/>
          <w:color w:val="000000" w:themeColor="text1"/>
          <w:sz w:val="32"/>
          <w:szCs w:val="32"/>
          <w14:textFill>
            <w14:solidFill>
              <w14:schemeClr w14:val="tx1"/>
            </w14:solidFill>
          </w14:textFill>
        </w:rPr>
        <w:t>2025</w:t>
      </w:r>
      <w:r>
        <w:rPr>
          <w:rFonts w:hint="eastAsia" w:ascii="仿宋_GB2312" w:hAnsi="仿宋_GB2312" w:eastAsia="仿宋_GB2312" w:cs="仿宋_GB2312"/>
          <w:color w:val="000000" w:themeColor="text1"/>
          <w:sz w:val="32"/>
          <w:szCs w:val="32"/>
          <w14:textFill>
            <w14:solidFill>
              <w14:schemeClr w14:val="tx1"/>
            </w14:solidFill>
          </w14:textFill>
        </w:rPr>
        <w:t>年，按五星级标准建成酒店</w:t>
      </w:r>
      <w:r>
        <w:rPr>
          <w:rFonts w:ascii="仿宋_GB2312" w:hAnsi="仿宋_GB2312" w:eastAsia="仿宋_GB2312" w:cs="仿宋_GB2312"/>
          <w:color w:val="000000" w:themeColor="text1"/>
          <w:sz w:val="32"/>
          <w:szCs w:val="32"/>
          <w14:textFill>
            <w14:solidFill>
              <w14:schemeClr w14:val="tx1"/>
            </w14:solidFill>
          </w14:textFill>
        </w:rPr>
        <w:t>10</w:t>
      </w:r>
      <w:r>
        <w:rPr>
          <w:rFonts w:hint="eastAsia" w:ascii="仿宋_GB2312" w:hAnsi="仿宋_GB2312" w:eastAsia="仿宋_GB2312" w:cs="仿宋_GB2312"/>
          <w:color w:val="000000" w:themeColor="text1"/>
          <w:sz w:val="32"/>
          <w:szCs w:val="32"/>
          <w14:textFill>
            <w14:solidFill>
              <w14:schemeClr w14:val="tx1"/>
            </w14:solidFill>
          </w14:textFill>
        </w:rPr>
        <w:t>家以上。着力打造若干现代服务业创新发展区。发展数字商贸、数字学习、数字出行、数字文旅和数字健康，打造数字生活服务新场景新模式。</w:t>
      </w:r>
    </w:p>
    <w:p>
      <w:pPr>
        <w:pStyle w:val="17"/>
        <w:spacing w:before="0" w:beforeAutospacing="0" w:after="0" w:afterAutospacing="0" w:line="580" w:lineRule="exact"/>
        <w:ind w:firstLine="643" w:firstLineChars="200"/>
        <w:textAlignment w:val="baseline"/>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加快政府公共服务均等化发展。</w:t>
      </w:r>
      <w:r>
        <w:rPr>
          <w:rFonts w:hint="eastAsia" w:ascii="仿宋_GB2312" w:hAnsi="仿宋_GB2312" w:eastAsia="仿宋_GB2312" w:cs="仿宋_GB2312"/>
          <w:color w:val="000000" w:themeColor="text1"/>
          <w:sz w:val="32"/>
          <w:szCs w:val="32"/>
          <w14:textFill>
            <w14:solidFill>
              <w14:schemeClr w14:val="tx1"/>
            </w14:solidFill>
          </w14:textFill>
        </w:rPr>
        <w:t>深入推进“整体智治”现代政府建设，大力提升行政质量、效率和政府公信力。建立“一件事”全生命周期数据库，推动“一件事”向公共服务领域延伸。加快融入长三角一体化，全面实现政务服务“一网通办”“跨域办”，强化为侨服务“全球通”平台应用。加快拓展公共服务领域数字化应用，围绕</w:t>
      </w:r>
      <w:r>
        <w:rPr>
          <w:rFonts w:ascii="仿宋_GB2312" w:hAnsi="仿宋_GB2312" w:eastAsia="仿宋_GB2312" w:cs="仿宋_GB2312"/>
          <w:color w:val="000000" w:themeColor="text1"/>
          <w:sz w:val="32"/>
          <w:szCs w:val="32"/>
          <w14:textFill>
            <w14:solidFill>
              <w14:schemeClr w14:val="tx1"/>
            </w14:solidFill>
          </w14:textFill>
        </w:rPr>
        <w:t>12个“有”，全面提升社会事业领域数字化改革水平，打造一批跨部门多业务协同应用，提供全链条、全周期的多样、均等、便捷的社会服务。迭代升级花园云（城市大脑），完善城市大脑基础设施，提升应用支撑能力。</w:t>
      </w:r>
      <w:r>
        <w:rPr>
          <w:rFonts w:hint="eastAsia" w:ascii="仿宋_GB2312" w:hAnsi="仿宋_GB2312" w:eastAsia="仿宋_GB2312" w:cs="仿宋_GB2312"/>
          <w:color w:val="000000" w:themeColor="text1"/>
          <w:sz w:val="32"/>
          <w:szCs w:val="32"/>
          <w14:textFill>
            <w14:solidFill>
              <w14:schemeClr w14:val="tx1"/>
            </w14:solidFill>
          </w14:textFill>
        </w:rPr>
        <w:t>开展未来社区数字化协同发展试点，加快未来邻里、教育、健康、创业等数字化创新应用，推进“无感付”等便民场景建设与推广。</w:t>
      </w:r>
    </w:p>
    <w:p>
      <w:pPr>
        <w:pStyle w:val="17"/>
        <w:spacing w:before="0" w:beforeAutospacing="0" w:after="0" w:afterAutospacing="0" w:line="580" w:lineRule="exact"/>
        <w:ind w:firstLine="640" w:firstLineChars="200"/>
        <w:textAlignment w:val="baseline"/>
        <w:rPr>
          <w:rFonts w:hint="eastAsia" w:ascii="仿宋_GB2312" w:hAnsi="仿宋_GB2312" w:eastAsia="仿宋_GB2312" w:cs="仿宋_GB2312"/>
          <w:color w:val="000000" w:themeColor="text1"/>
          <w:sz w:val="32"/>
          <w:szCs w:val="32"/>
          <w14:textFill>
            <w14:solidFill>
              <w14:schemeClr w14:val="tx1"/>
            </w14:solidFill>
          </w14:textFill>
        </w:rPr>
      </w:pPr>
    </w:p>
    <w:tbl>
      <w:tblPr>
        <w:tblStyle w:val="20"/>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7" w:type="dxa"/>
          </w:tcPr>
          <w:p>
            <w:pPr>
              <w:pStyle w:val="17"/>
              <w:spacing w:before="0" w:beforeAutospacing="0" w:after="0" w:afterAutospacing="0" w:line="400" w:lineRule="exact"/>
              <w:jc w:val="center"/>
              <w:textAlignment w:val="baseline"/>
              <w:rPr>
                <w:color w:val="000000" w:themeColor="text1"/>
                <w:sz w:val="24"/>
                <w:szCs w:val="24"/>
                <w14:textFill>
                  <w14:solidFill>
                    <w14:schemeClr w14:val="tx1"/>
                  </w14:solidFill>
                </w14:textFill>
              </w:rPr>
            </w:pPr>
            <w:r>
              <w:rPr>
                <w:rFonts w:hint="eastAsia" w:ascii="楷体_GB2312" w:hAnsi="楷体_GB2312" w:eastAsia="楷体_GB2312" w:cs="楷体_GB2312"/>
                <w:b/>
                <w:bCs/>
                <w:color w:val="000000" w:themeColor="text1"/>
                <w:sz w:val="24"/>
                <w:szCs w:val="24"/>
                <w14:textFill>
                  <w14:solidFill>
                    <w14:schemeClr w14:val="tx1"/>
                  </w14:solidFill>
                </w14:textFill>
              </w:rPr>
              <w:t>专栏4-1：政府公共服务高质量提升重点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7" w:type="dxa"/>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提升政务服务质量。</w:t>
            </w:r>
            <w:r>
              <w:rPr>
                <w:rFonts w:hint="eastAsia" w:ascii="仿宋_GB2312" w:hAnsi="仿宋_GB2312" w:eastAsia="仿宋_GB2312" w:cs="仿宋_GB2312"/>
                <w:color w:val="000000" w:themeColor="text1"/>
                <w14:textFill>
                  <w14:solidFill>
                    <w14:schemeClr w14:val="tx1"/>
                  </w14:solidFill>
                </w14:textFill>
              </w:rPr>
              <w:t>以无感漫游加快“跨市域通办”改革。对标上海等已开展“一网通办”试点的城市，在市场准入、受理要件、操作流程等环节实现“互联互通”。开展营商环境核心指标提升行动，不断提升政务服务效能。持续优化市场化法治化国际化营商环境。</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提升公共文化服务质量。</w:t>
            </w:r>
            <w:r>
              <w:rPr>
                <w:rFonts w:hint="eastAsia" w:ascii="仿宋_GB2312" w:hAnsi="仿宋_GB2312" w:eastAsia="仿宋_GB2312" w:cs="仿宋_GB2312"/>
                <w:color w:val="000000" w:themeColor="text1"/>
                <w14:textFill>
                  <w14:solidFill>
                    <w14:schemeClr w14:val="tx1"/>
                  </w14:solidFill>
                </w14:textFill>
              </w:rPr>
              <w:t>深化文化体制改革，完善政府购买公共文化服务机制，建立健全公共文化服务标准化均等化建设评价机制；完善公共文化机构绩效考评制度；建立农村电影放映长效机制。</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加强优质教育资源建设。</w:t>
            </w:r>
            <w:r>
              <w:rPr>
                <w:rFonts w:ascii="仿宋_GB2312" w:hAnsi="仿宋_GB2312" w:eastAsia="仿宋_GB2312" w:cs="仿宋_GB2312"/>
                <w:color w:val="000000" w:themeColor="text1"/>
                <w14:textFill>
                  <w14:solidFill>
                    <w14:schemeClr w14:val="tx1"/>
                  </w14:solidFill>
                </w14:textFill>
              </w:rPr>
              <w:t>高质量普及学前至高中15年教育，推进职业教育跨区域合作办学和协同差异发展，推动丽水学院建设服务绿色发展的高水平应用型大学，支持丽水学院松阳校区建设，支持丽水职业技术学院高质量建成浙江省高水平高等职业院校，加快丽水电大建成高水平开放大学。完善特殊教育保障机制。建设市域教育大数据中心，加强“丽教钉”平台建设与应用，深入推进智慧校园建设。办好家门口的每一所学校，形成“内培外引”优质学校培育新机制，省现代化学校比例达到30%。</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增强医疗服务能力。</w:t>
            </w:r>
            <w:r>
              <w:rPr>
                <w:rFonts w:hint="eastAsia" w:ascii="仿宋_GB2312" w:hAnsi="仿宋_GB2312" w:eastAsia="仿宋_GB2312" w:cs="仿宋_GB2312"/>
                <w:color w:val="000000" w:themeColor="text1"/>
                <w14:textFill>
                  <w14:solidFill>
                    <w14:schemeClr w14:val="tx1"/>
                  </w14:solidFill>
                </w14:textFill>
              </w:rPr>
              <w:t>强化“三医联动”“六医统筹”，深化县域医共体和城市医联体建设，健全现代医院管理制度和分级诊疗制度，构建适应山区居民健康需求的整合型医疗卫生服务体系。建设浙西南区域诊疗中心，构建15分钟医疗服务圈。建设一批省级和市级医学重点学科和实验室。发展智慧医疗，加快实现卫生健康全面数字化转型。</w:t>
            </w:r>
          </w:p>
          <w:p>
            <w:pPr>
              <w:spacing w:line="400" w:lineRule="exact"/>
              <w:ind w:firstLine="482" w:firstLineChars="200"/>
              <w:textAlignment w:val="baseline"/>
              <w:rPr>
                <w:rFonts w:ascii="楷体" w:hAnsi="楷体"/>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建设老年友好型社会。</w:t>
            </w:r>
            <w:r>
              <w:rPr>
                <w:rFonts w:hint="eastAsia" w:ascii="仿宋_GB2312" w:hAnsi="仿宋_GB2312" w:eastAsia="仿宋_GB2312" w:cs="仿宋_GB2312"/>
                <w:color w:val="000000" w:themeColor="text1"/>
                <w14:textFill>
                  <w14:solidFill>
                    <w14:schemeClr w14:val="tx1"/>
                  </w14:solidFill>
                </w14:textFill>
              </w:rPr>
              <w:t>深化养老服务体系改革，对标国际国内先进标准，积极开展宜居城市宜居社区试点，优化调整养老设施布局，全面放开养老服务市场，加快养老人才队伍建设，规范行业标准、评估监管和信用体系；继续推进康（医）养联合体建设，健全可持续的养老服务经营体系；推进养老保险制度改革，构建覆盖全民、城乡统筹、权责清晰、保障适度、可持续的多层次社会保障体系。</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26" w:name="_Toc79779436"/>
      <w:r>
        <w:rPr>
          <w:rFonts w:ascii="Times New Roman" w:hAnsi="Times New Roman" w:eastAsia="楷体_GB2312" w:cs="Times New Roman"/>
          <w:b w:val="0"/>
          <w:color w:val="000000" w:themeColor="text1"/>
          <w14:textFill>
            <w14:solidFill>
              <w14:schemeClr w14:val="tx1"/>
            </w14:solidFill>
          </w14:textFill>
        </w:rPr>
        <w:t>（二）构建</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丽水服务</w:t>
      </w:r>
      <w:r>
        <w:rPr>
          <w:rFonts w:hint="eastAsia" w:ascii="Times New Roman" w:hAnsi="Times New Roman" w:eastAsia="楷体_GB2312" w:cs="Times New Roman"/>
          <w:b w:val="0"/>
          <w:color w:val="000000" w:themeColor="text1"/>
          <w14:textFill>
            <w14:solidFill>
              <w14:schemeClr w14:val="tx1"/>
            </w14:solidFill>
          </w14:textFill>
        </w:rPr>
        <w:t>”</w:t>
      </w:r>
      <w:r>
        <w:rPr>
          <w:rFonts w:ascii="Times New Roman" w:hAnsi="Times New Roman" w:eastAsia="楷体_GB2312" w:cs="Times New Roman"/>
          <w:b w:val="0"/>
          <w:color w:val="000000" w:themeColor="text1"/>
          <w14:textFill>
            <w14:solidFill>
              <w14:schemeClr w14:val="tx1"/>
            </w14:solidFill>
          </w14:textFill>
        </w:rPr>
        <w:t>高标准体系</w:t>
      </w:r>
      <w:bookmarkEnd w:id="26"/>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全面建成</w:t>
      </w:r>
      <w:r>
        <w:rPr>
          <w:rFonts w:eastAsia="仿宋_GB2312"/>
          <w:b/>
          <w:color w:val="000000" w:themeColor="text1"/>
          <w:sz w:val="32"/>
          <w:szCs w:val="32"/>
          <w14:textFill>
            <w14:solidFill>
              <w14:schemeClr w14:val="tx1"/>
            </w14:solidFill>
          </w14:textFill>
        </w:rPr>
        <w:t>生态服务业标准</w:t>
      </w:r>
      <w:r>
        <w:rPr>
          <w:rFonts w:hint="eastAsia" w:eastAsia="仿宋_GB2312"/>
          <w:b/>
          <w:color w:val="000000" w:themeColor="text1"/>
          <w:sz w:val="32"/>
          <w:szCs w:val="32"/>
          <w14:textFill>
            <w14:solidFill>
              <w14:schemeClr w14:val="tx1"/>
            </w14:solidFill>
          </w14:textFill>
        </w:rPr>
        <w:t>体系</w:t>
      </w:r>
      <w:r>
        <w:rPr>
          <w:rFonts w:eastAsia="仿宋_GB2312"/>
          <w:b/>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以推进服务业供给侧结构性改革、促进产业结构优化升级为目标，加快特色文化旅游、生态旅游、全域旅游、养生养老、绿色金融、电子商务和商贸物流等领域标准制定实施，利用标准化打造生态服务业新引擎，推动丽水服务业规模化、品牌化和国际化发展。</w:t>
      </w:r>
    </w:p>
    <w:tbl>
      <w:tblPr>
        <w:tblStyle w:val="20"/>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17" w:type="dxa"/>
            <w:vAlign w:val="center"/>
          </w:tcPr>
          <w:p>
            <w:pPr>
              <w:spacing w:line="400" w:lineRule="exact"/>
              <w:jc w:val="center"/>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专栏4-2：生态服务业标准体系重点领域标准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8217" w:type="dxa"/>
            <w:vAlign w:val="center"/>
          </w:tcPr>
          <w:p>
            <w:pPr>
              <w:spacing w:line="400" w:lineRule="exact"/>
              <w:ind w:firstLine="480" w:firstLineChars="200"/>
              <w:textAlignment w:val="baseline"/>
              <w:rPr>
                <w:rFonts w:ascii="仿宋_GB2312" w:hAnsi="仿宋_GB2312" w:eastAsia="仿宋_GB2312" w:cs="仿宋_GB2312"/>
                <w:b/>
                <w:bCs/>
                <w:color w:val="000000" w:themeColor="text1"/>
                <w:sz w:val="2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生态服务业：“丽水山景”“丽水山旅”、处州特色小吃、丽水“十大名菜”、全域旅游、森林康养、“政银保”小额扶贫贷款、绿色投资项目评价、绿色融资企业评价、绿色普惠银行建设、区域绿色金融发展指数、地摊经济、夜市经济、“赶街”模式、农村快递智慧终端、农村电子商务商品质量监测等标准。</w:t>
            </w:r>
          </w:p>
        </w:tc>
      </w:tr>
    </w:tbl>
    <w:p>
      <w:pPr>
        <w:spacing w:line="580" w:lineRule="exact"/>
        <w:ind w:firstLine="643" w:firstLineChars="200"/>
        <w:textAlignment w:val="baseline"/>
        <w:rPr>
          <w:rFonts w:eastAsia="仿宋_GB2312"/>
          <w:bCs/>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深入构建</w:t>
      </w:r>
      <w:r>
        <w:rPr>
          <w:rFonts w:eastAsia="仿宋_GB2312"/>
          <w:b/>
          <w:color w:val="000000" w:themeColor="text1"/>
          <w:sz w:val="32"/>
          <w:szCs w:val="32"/>
          <w14:textFill>
            <w14:solidFill>
              <w14:schemeClr w14:val="tx1"/>
            </w14:solidFill>
          </w14:textFill>
        </w:rPr>
        <w:t>幸福民生标准体系</w:t>
      </w:r>
      <w:r>
        <w:rPr>
          <w:rFonts w:hint="eastAsia" w:eastAsia="仿宋_GB2312"/>
          <w:b/>
          <w:color w:val="000000" w:themeColor="text1"/>
          <w:sz w:val="32"/>
          <w:szCs w:val="32"/>
          <w14:textFill>
            <w14:solidFill>
              <w14:schemeClr w14:val="tx1"/>
            </w14:solidFill>
          </w14:textFill>
        </w:rPr>
        <w:t>。</w:t>
      </w:r>
      <w:r>
        <w:rPr>
          <w:rFonts w:eastAsia="仿宋_GB2312"/>
          <w:bCs/>
          <w:color w:val="000000" w:themeColor="text1"/>
          <w:sz w:val="32"/>
          <w:szCs w:val="32"/>
          <w14:textFill>
            <w14:solidFill>
              <w14:schemeClr w14:val="tx1"/>
            </w14:solidFill>
          </w14:textFill>
        </w:rPr>
        <w:t>按照普惠性、保基本、均等化、可持续要求，围绕公共教育、健康服务、就业与社会保障、社会服务和公共文化等重点领域，构建“高水平、全覆盖、促均衡”的幸福民生标准体系，标准整体优于国家标准，达到国内领先水平。加强各层级标准衔接配套，建立重点领域标准清单制度，提高公共资源配置的科学性、合理性和有效性，全面提升公共服务质量，努力提升城乡居民的获得感、公平感、安全感和幸福感。</w:t>
      </w:r>
    </w:p>
    <w:tbl>
      <w:tblPr>
        <w:tblStyle w:val="20"/>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vAlign w:val="center"/>
          </w:tcPr>
          <w:p>
            <w:pPr>
              <w:spacing w:line="400" w:lineRule="exact"/>
              <w:jc w:val="center"/>
              <w:textAlignment w:val="baseline"/>
              <w:rPr>
                <w:b/>
                <w:color w:val="000000" w:themeColor="text1"/>
                <w:sz w:val="30"/>
                <w:szCs w:val="3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专栏4-3:幸福民生标准体系重点领域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472" w:type="dxa"/>
            <w:vAlign w:val="center"/>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公共教育服务：</w:t>
            </w:r>
            <w:r>
              <w:rPr>
                <w:rFonts w:hint="eastAsia" w:ascii="仿宋_GB2312" w:hAnsi="仿宋_GB2312" w:eastAsia="仿宋_GB2312" w:cs="仿宋_GB2312"/>
                <w:color w:val="000000" w:themeColor="text1"/>
                <w14:textFill>
                  <w14:solidFill>
                    <w14:schemeClr w14:val="tx1"/>
                  </w14:solidFill>
                </w14:textFill>
              </w:rPr>
              <w:t>学校建设、学校运行管理和安全保障、学前教育、职业教育、中小学普法教育、智慧校园建设等标准。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健康服务：</w:t>
            </w:r>
            <w:r>
              <w:rPr>
                <w:rFonts w:hint="eastAsia" w:ascii="仿宋_GB2312" w:hAnsi="仿宋_GB2312" w:eastAsia="仿宋_GB2312" w:cs="仿宋_GB2312"/>
                <w:color w:val="000000" w:themeColor="text1"/>
                <w14:textFill>
                  <w14:solidFill>
                    <w14:schemeClr w14:val="tx1"/>
                  </w14:solidFill>
                </w14:textFill>
              </w:rPr>
              <w:t>国民绿色生活、气象养生、基层医疗卫生服务机构建设、服务评价、健康管理、传染病、慢性病、地方病等疾病防治、出生缺陷监测、预防和控制，公共体育设施建设、骑行绿道、超级马拉松等标准。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就业与社会保障服务：</w:t>
            </w:r>
            <w:r>
              <w:rPr>
                <w:rFonts w:hint="eastAsia" w:ascii="仿宋_GB2312" w:hAnsi="仿宋_GB2312" w:eastAsia="仿宋_GB2312" w:cs="仿宋_GB2312"/>
                <w:color w:val="000000" w:themeColor="text1"/>
                <w14:textFill>
                  <w14:solidFill>
                    <w14:schemeClr w14:val="tx1"/>
                  </w14:solidFill>
                </w14:textFill>
              </w:rPr>
              <w:t>创业服务、就业培训、就业指导和援助、职业技能等级认定、人才评定、养老保险、医疗保险、工伤保险、失业保险、生育保险等标准。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社会服务：</w:t>
            </w:r>
            <w:r>
              <w:rPr>
                <w:rFonts w:hint="eastAsia" w:ascii="仿宋_GB2312" w:hAnsi="仿宋_GB2312" w:eastAsia="仿宋_GB2312" w:cs="仿宋_GB2312"/>
                <w:color w:val="000000" w:themeColor="text1"/>
                <w14:textFill>
                  <w14:solidFill>
                    <w14:schemeClr w14:val="tx1"/>
                  </w14:solidFill>
                </w14:textFill>
              </w:rPr>
              <w:t>妇女儿童保护、婴幼儿托班、社会养老服务、优抚安置、社会救助、救灾减灾、社区建设、社会工作、专项社会服务等标准。</w:t>
            </w:r>
          </w:p>
          <w:p>
            <w:pPr>
              <w:spacing w:line="400" w:lineRule="exact"/>
              <w:ind w:firstLine="482" w:firstLineChars="200"/>
              <w:textAlignment w:val="baseline"/>
              <w:rPr>
                <w:b/>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公共文化服务：</w:t>
            </w:r>
            <w:r>
              <w:rPr>
                <w:rFonts w:hint="eastAsia" w:ascii="仿宋_GB2312" w:hAnsi="仿宋_GB2312" w:eastAsia="仿宋_GB2312" w:cs="仿宋_GB2312"/>
                <w:color w:val="000000" w:themeColor="text1"/>
                <w14:textFill>
                  <w14:solidFill>
                    <w14:schemeClr w14:val="tx1"/>
                  </w14:solidFill>
                </w14:textFill>
              </w:rPr>
              <w:t>公共文化管理与服务、非物质文化遗产保护和利用、红色文化和畲族文化传承、传统技艺保护、公共文化场所设施管理和服务、爱心书屋建设、乡村文化建设、青瓷、宝剑、石雕、木玩等标准。</w:t>
            </w:r>
          </w:p>
        </w:tc>
      </w:tr>
    </w:tbl>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逐步完善</w:t>
      </w:r>
      <w:r>
        <w:rPr>
          <w:rFonts w:eastAsia="仿宋_GB2312"/>
          <w:b/>
          <w:color w:val="000000" w:themeColor="text1"/>
          <w:sz w:val="32"/>
          <w:szCs w:val="32"/>
          <w14:textFill>
            <w14:solidFill>
              <w14:schemeClr w14:val="tx1"/>
            </w14:solidFill>
          </w14:textFill>
        </w:rPr>
        <w:t>高效治理标准体系</w:t>
      </w:r>
      <w:r>
        <w:rPr>
          <w:rFonts w:hint="eastAsia" w:eastAsia="仿宋_GB2312"/>
          <w:b/>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以</w:t>
      </w:r>
      <w:r>
        <w:rPr>
          <w:rFonts w:hint="eastAsia" w:eastAsia="仿宋_GB2312"/>
          <w:color w:val="000000" w:themeColor="text1"/>
          <w:sz w:val="32"/>
          <w:szCs w:val="32"/>
          <w:lang w:eastAsia="zh-CN"/>
          <w14:textFill>
            <w14:solidFill>
              <w14:schemeClr w14:val="tx1"/>
            </w14:solidFill>
          </w14:textFill>
        </w:rPr>
        <w:t>推进国家治理体系和治理能力现代化</w:t>
      </w:r>
      <w:r>
        <w:rPr>
          <w:rFonts w:eastAsia="仿宋_GB2312"/>
          <w:color w:val="000000" w:themeColor="text1"/>
          <w:sz w:val="32"/>
          <w:szCs w:val="32"/>
          <w14:textFill>
            <w14:solidFill>
              <w14:schemeClr w14:val="tx1"/>
            </w14:solidFill>
          </w14:textFill>
        </w:rPr>
        <w:t>为目标，大力构建覆盖行政改革、公共数据与电子政务、基层社会治理和社会公共安全等重点领域先进的高效治理标准体系，以标准作为治理依据和评价准则的技术支撑，促进政府治理和社会治理体制改革，创新治理方式，全面提升行政效能和服务质量，支撑营商环境最优市建设，推动丽水治理水平走在全省全国前列。</w:t>
      </w:r>
    </w:p>
    <w:tbl>
      <w:tblPr>
        <w:tblStyle w:val="20"/>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72" w:type="dxa"/>
            <w:vAlign w:val="center"/>
          </w:tcPr>
          <w:p>
            <w:pPr>
              <w:spacing w:line="400" w:lineRule="exact"/>
              <w:jc w:val="center"/>
              <w:textAlignment w:val="baseline"/>
              <w:rPr>
                <w:bCs/>
                <w:color w:val="000000" w:themeColor="text1"/>
                <w:sz w:val="30"/>
                <w:szCs w:val="3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专栏4-4:高效治理标准体系重点领域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8472" w:type="dxa"/>
            <w:vAlign w:val="center"/>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行政改革服务：</w:t>
            </w:r>
            <w:r>
              <w:rPr>
                <w:rFonts w:hint="eastAsia" w:ascii="仿宋_GB2312" w:hAnsi="仿宋_GB2312" w:eastAsia="仿宋_GB2312" w:cs="仿宋_GB2312"/>
                <w:color w:val="000000" w:themeColor="text1"/>
                <w14:textFill>
                  <w14:solidFill>
                    <w14:schemeClr w14:val="tx1"/>
                  </w14:solidFill>
                </w14:textFill>
              </w:rPr>
              <w:t>部门间“最多跑一次”改革事项、“一窗受理”“一证通办”“全球通办”“减证便民”“标准地”、营商环境评价、山海协作、公务员考录管理、政务服务事项便利度评价等标准。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公共数据与电子政务：</w:t>
            </w:r>
            <w:r>
              <w:rPr>
                <w:rFonts w:hint="eastAsia" w:ascii="仿宋_GB2312" w:hAnsi="仿宋_GB2312" w:eastAsia="仿宋_GB2312" w:cs="仿宋_GB2312"/>
                <w:color w:val="000000" w:themeColor="text1"/>
                <w14:textFill>
                  <w14:solidFill>
                    <w14:schemeClr w14:val="tx1"/>
                  </w14:solidFill>
                </w14:textFill>
              </w:rPr>
              <w:t>“互联网+政务服务”公共数据管理、公共数据归集共享、电子文件、电子证照、电子政务信息安全、电子政务云平台运行管理等标准。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基层社会治理：</w:t>
            </w:r>
            <w:r>
              <w:rPr>
                <w:rFonts w:hint="eastAsia" w:ascii="仿宋_GB2312" w:hAnsi="仿宋_GB2312" w:eastAsia="仿宋_GB2312" w:cs="仿宋_GB2312"/>
                <w:color w:val="000000" w:themeColor="text1"/>
                <w14:textFill>
                  <w14:solidFill>
                    <w14:schemeClr w14:val="tx1"/>
                  </w14:solidFill>
                </w14:textFill>
              </w:rPr>
              <w:t>基层社会治理组织建设、社会管理和服务质量评价、信用治理、“民事村了”“阳光票决”“最多跑一地”“四有自治”“红色管家”等标准。</w:t>
            </w:r>
          </w:p>
          <w:p>
            <w:pPr>
              <w:spacing w:line="400" w:lineRule="exact"/>
              <w:ind w:firstLine="482" w:firstLineChars="200"/>
              <w:textAlignment w:val="baseline"/>
              <w:rPr>
                <w:b/>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社会公共安全：</w:t>
            </w:r>
            <w:r>
              <w:rPr>
                <w:rFonts w:hint="eastAsia" w:ascii="仿宋_GB2312" w:hAnsi="仿宋_GB2312" w:eastAsia="仿宋_GB2312" w:cs="仿宋_GB2312"/>
                <w:color w:val="000000" w:themeColor="text1"/>
                <w14:textFill>
                  <w14:solidFill>
                    <w14:schemeClr w14:val="tx1"/>
                  </w14:solidFill>
                </w14:textFill>
              </w:rPr>
              <w:t>社会治安形势分析研判、安全生产监管监察、职业健康与防护、事故应急救援、特种设备安全、电梯维护保养、食品药品安全、急流救援等标准。</w:t>
            </w:r>
          </w:p>
        </w:tc>
      </w:tr>
    </w:tbl>
    <w:p>
      <w:pPr>
        <w:pStyle w:val="5"/>
        <w:spacing w:line="580" w:lineRule="exact"/>
        <w:ind w:right="240" w:firstLine="320" w:firstLineChars="100"/>
        <w:textAlignment w:val="baseline"/>
        <w:rPr>
          <w:rFonts w:ascii="Times New Roman" w:hAnsi="Times New Roman" w:eastAsia="楷体_GB2312" w:cs="Times New Roman"/>
          <w:b w:val="0"/>
          <w:color w:val="000000" w:themeColor="text1"/>
          <w14:textFill>
            <w14:solidFill>
              <w14:schemeClr w14:val="tx1"/>
            </w14:solidFill>
          </w14:textFill>
        </w:rPr>
      </w:pPr>
      <w:bookmarkStart w:id="27" w:name="_Toc79779437"/>
      <w:r>
        <w:rPr>
          <w:rFonts w:ascii="Times New Roman" w:hAnsi="Times New Roman" w:eastAsia="楷体_GB2312" w:cs="Times New Roman"/>
          <w:b w:val="0"/>
          <w:color w:val="000000" w:themeColor="text1"/>
          <w14:textFill>
            <w14:solidFill>
              <w14:schemeClr w14:val="tx1"/>
            </w14:solidFill>
          </w14:textFill>
        </w:rPr>
        <w:t>（三）铸造“丽水服务”高光度品牌</w:t>
      </w:r>
      <w:bookmarkEnd w:id="27"/>
    </w:p>
    <w:p>
      <w:pPr>
        <w:spacing w:line="580" w:lineRule="exact"/>
        <w:ind w:firstLine="643" w:firstLineChars="200"/>
        <w:textAlignment w:val="baseline"/>
        <w:rPr>
          <w:rFonts w:ascii="仿宋_GB2312" w:hAnsi="仿宋_GB2312" w:eastAsia="仿宋_GB2312" w:cs="仿宋_GB2312"/>
          <w:color w:val="000000" w:themeColor="text1"/>
          <w:kern w:val="2"/>
          <w:sz w:val="32"/>
          <w:szCs w:val="32"/>
          <w:highlight w:val="yellow"/>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擦亮丽水全域</w:t>
      </w:r>
      <w:r>
        <w:rPr>
          <w:rFonts w:eastAsia="仿宋_GB2312"/>
          <w:b/>
          <w:bCs/>
          <w:color w:val="000000" w:themeColor="text1"/>
          <w:sz w:val="32"/>
          <w:szCs w:val="32"/>
          <w14:textFill>
            <w14:solidFill>
              <w14:schemeClr w14:val="tx1"/>
            </w14:solidFill>
          </w14:textFill>
        </w:rPr>
        <w:t>旅游</w:t>
      </w:r>
      <w:r>
        <w:rPr>
          <w:rFonts w:hint="eastAsia" w:eastAsia="仿宋_GB2312"/>
          <w:b/>
          <w:bCs/>
          <w:color w:val="000000" w:themeColor="text1"/>
          <w:sz w:val="32"/>
          <w:szCs w:val="32"/>
          <w14:textFill>
            <w14:solidFill>
              <w14:schemeClr w14:val="tx1"/>
            </w14:solidFill>
          </w14:textFill>
        </w:rPr>
        <w:t>金名片。</w:t>
      </w:r>
      <w:r>
        <w:rPr>
          <w:rFonts w:hint="eastAsia" w:ascii="仿宋_GB2312" w:hAnsi="仿宋_GB2312" w:eastAsia="仿宋_GB2312" w:cs="仿宋_GB2312"/>
          <w:color w:val="000000" w:themeColor="text1"/>
          <w:sz w:val="32"/>
          <w:szCs w:val="32"/>
          <w14:textFill>
            <w14:solidFill>
              <w14:schemeClr w14:val="tx1"/>
            </w14:solidFill>
          </w14:textFill>
        </w:rPr>
        <w:t>开展全域旅游“微改造、精提升”行动计划，推进千亿大投资、全域大创建、景区大提升、度假区大建设、品牌大培育等五大工程建设。积极参与浙皖闽赣国家生态旅游协作区建设，争创国家级旅游休闲城市和街区，打造一批具有引擎效应的高等级旅游景区、国家级旅游度假区。围绕“丽水山居”“丽水山景”“丽水山路”特色品牌，积极推进质量品牌提升行动，引导企业标准化品牌化发展，打造</w:t>
      </w:r>
      <w:r>
        <w:rPr>
          <w:rFonts w:hint="eastAsia" w:ascii="仿宋_GB2312" w:hAnsi="仿宋_GB2312" w:eastAsia="仿宋_GB2312" w:cs="仿宋_GB2312"/>
          <w:color w:val="000000" w:themeColor="text1"/>
          <w:kern w:val="2"/>
          <w:sz w:val="32"/>
          <w:szCs w:val="32"/>
          <w14:textFill>
            <w14:solidFill>
              <w14:schemeClr w14:val="tx1"/>
            </w14:solidFill>
          </w14:textFill>
        </w:rPr>
        <w:t>“红色浙西南、绿色新丽水”区域品牌。</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全力打造高效政务服务品牌。</w:t>
      </w:r>
      <w:r>
        <w:rPr>
          <w:rFonts w:hint="eastAsia" w:ascii="仿宋_GB2312" w:hAnsi="仿宋_GB2312" w:eastAsia="仿宋_GB2312" w:cs="仿宋_GB2312"/>
          <w:color w:val="000000" w:themeColor="text1"/>
          <w:sz w:val="32"/>
          <w:szCs w:val="32"/>
          <w14:textFill>
            <w14:solidFill>
              <w14:schemeClr w14:val="tx1"/>
            </w14:solidFill>
          </w14:textFill>
        </w:rPr>
        <w:t>打造丽水“全程帮办”品牌，将代办服务范围向“企业设立”和“竣工验收”两端延伸，向证照帮办、代办等民生领域延伸。完善市、县、乡、村四级代办员服务网络。更好发挥行业协会、商会和中介组织作用，拓展信息公开维度，促进中介服务市场开放，升级“网上中介超市”。加快培育发展高资质、多资质的中介机构和中介联合体，推进跨部门跨行业跨地区检验检测测绘成果互认。</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全面推进“浙丽来消费”品牌。</w:t>
      </w:r>
      <w:r>
        <w:rPr>
          <w:rFonts w:hint="eastAsia" w:ascii="仿宋_GB2312" w:hAnsi="仿宋_GB2312" w:eastAsia="仿宋_GB2312" w:cs="仿宋_GB2312"/>
          <w:bCs/>
          <w:color w:val="000000" w:themeColor="text1"/>
          <w:sz w:val="32"/>
          <w:szCs w:val="32"/>
          <w14:textFill>
            <w14:solidFill>
              <w14:schemeClr w14:val="tx1"/>
            </w14:solidFill>
          </w14:textFill>
        </w:rPr>
        <w:t>引导消费提质扩容，优化消费环境，大力推进品质消费。</w:t>
      </w:r>
      <w:r>
        <w:rPr>
          <w:rFonts w:hint="eastAsia" w:ascii="仿宋_GB2312" w:hAnsi="仿宋_GB2312" w:eastAsia="仿宋_GB2312" w:cs="仿宋_GB2312"/>
          <w:color w:val="000000" w:themeColor="text1"/>
          <w:sz w:val="32"/>
          <w:szCs w:val="32"/>
          <w14:textFill>
            <w14:solidFill>
              <w14:schemeClr w14:val="tx1"/>
            </w14:solidFill>
          </w14:textFill>
        </w:rPr>
        <w:t>增强消费对经济发展的基础性作用，培育新型消费，提升传统消费，适当增加公共消费。加快建设浙西南消费中心，打造主客共享的时尚网红打卡地、夜间经济地标区、高端消费集聚地，实施繁荣商圈提能级行动，布局“智慧商圈”，培育中心城市商圈，鼓励各县（市、区）打造特色商圈。深入开展放心消费行动，完善消费领域信用制度，建立完备的消费权益维护体系，促进消费向绿色、健康、安全发展。</w:t>
      </w:r>
    </w:p>
    <w:p>
      <w:pPr>
        <w:pStyle w:val="2"/>
        <w:spacing w:line="580" w:lineRule="exact"/>
        <w:ind w:left="0" w:firstLine="643" w:firstLineChars="200"/>
        <w:textAlignment w:val="baseline"/>
        <w:rPr>
          <w:rFonts w:ascii="仿宋_GB2312" w:hAnsi="仿宋_GB2312" w:eastAsia="仿宋_GB2312" w:cs="仿宋_GB2312"/>
          <w:color w:val="000000" w:themeColor="text1"/>
          <w:kern w:val="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打造特色地域文化品牌。</w:t>
      </w:r>
      <w:r>
        <w:rPr>
          <w:rFonts w:hint="eastAsia" w:ascii="仿宋_GB2312" w:hAnsi="仿宋_GB2312" w:eastAsia="仿宋_GB2312" w:cs="仿宋_GB2312"/>
          <w:color w:val="000000" w:themeColor="text1"/>
          <w:kern w:val="0"/>
          <w14:textFill>
            <w14:solidFill>
              <w14:schemeClr w14:val="tx1"/>
            </w14:solidFill>
          </w14:textFill>
        </w:rPr>
        <w:t>加强文化遗产保护利用，实施文化基因解码工程，提升历史文化设施，建设历史文化名城，推进红色乡村振兴。谋划创建国家生态文化公园。加强非遗知识产权的保护，传承非遗记忆，开发民间艺术等非物质文化遗产，培育一批非遗传承人，建设一批非遗体验基地。实施文化品牌工程，培育打响十大地域特色文化品牌，</w:t>
      </w:r>
      <w:r>
        <w:rPr>
          <w:rFonts w:hint="eastAsia" w:ascii="仿宋_GB2312" w:hAnsi="仿宋_GB2312" w:eastAsia="仿宋_GB2312" w:cs="仿宋_GB2312"/>
          <w:color w:val="000000" w:themeColor="text1"/>
          <w14:textFill>
            <w14:solidFill>
              <w14:schemeClr w14:val="tx1"/>
            </w14:solidFill>
          </w14:textFill>
        </w:rPr>
        <w:t>开展“村晚四季”活动，加快</w:t>
      </w:r>
      <w:r>
        <w:rPr>
          <w:rFonts w:hint="eastAsia" w:ascii="仿宋_GB2312" w:hAnsi="仿宋_GB2312" w:eastAsia="仿宋_GB2312" w:cs="仿宋_GB2312"/>
          <w:color w:val="000000" w:themeColor="text1"/>
          <w:kern w:val="0"/>
          <w14:textFill>
            <w14:solidFill>
              <w14:schemeClr w14:val="tx1"/>
            </w14:solidFill>
          </w14:textFill>
        </w:rPr>
        <w:t>推进“乡村春晚”走向“乡村村晚”，建立全国乡村文化振兴示范高地。</w:t>
      </w:r>
    </w:p>
    <w:p>
      <w:pPr>
        <w:pStyle w:val="3"/>
        <w:spacing w:line="580" w:lineRule="exact"/>
        <w:ind w:left="0" w:firstLine="643" w:firstLineChars="200"/>
        <w:textAlignment w:val="baseline"/>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打造丽水教育特色品牌。</w:t>
      </w:r>
      <w:r>
        <w:rPr>
          <w:rFonts w:hint="eastAsia" w:ascii="仿宋_GB2312" w:hAnsi="仿宋_GB2312" w:eastAsia="仿宋_GB2312" w:cs="仿宋_GB2312"/>
          <w:color w:val="000000" w:themeColor="text1"/>
          <w:kern w:val="0"/>
          <w:sz w:val="32"/>
          <w:szCs w:val="32"/>
          <w14:textFill>
            <w14:solidFill>
              <w14:schemeClr w14:val="tx1"/>
            </w14:solidFill>
          </w14:textFill>
        </w:rPr>
        <w:t>加快教育现代化建设，所有县（市、区）创建成为国家学前教育普及普惠县，一半以上县（市、区）创建成为全国义务教育优质均衡县。构建德智体美劳“五育并举”的落实机制，培养具有丽水辨识度的优秀学子。打造丽水名师、名校长“双名工程”培养体系，建成丽水数字化教师学院。坚持以游戏为基本活动，打造以云和木玩游戏为特色的学前教育品牌。深入实施“百名大师、千名高徒”工程，打造现代学徒制培养“丽水样板”。建设与丽水产业相匹配的现代产业学院，打造浙西南科创走廊高校创新高地。</w:t>
      </w:r>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打造健康丽水服务品牌。</w:t>
      </w:r>
      <w:r>
        <w:rPr>
          <w:rFonts w:hint="eastAsia" w:ascii="仿宋_GB2312" w:hAnsi="仿宋_GB2312" w:eastAsia="仿宋_GB2312" w:cs="仿宋_GB2312"/>
          <w:color w:val="000000" w:themeColor="text1"/>
          <w:sz w:val="32"/>
          <w:szCs w:val="32"/>
          <w14:textFill>
            <w14:solidFill>
              <w14:schemeClr w14:val="tx1"/>
            </w14:solidFill>
          </w14:textFill>
        </w:rPr>
        <w:t>增强医疗服务能力，深化医疗卫生体制改革，健全基本医疗卫生制度，全方位全周期保障人民健康，力争主要健康指标达到高收入国家水平。健全公共卫生应急体系，完善一方融合、平战结合的疾病预防控制体系，加强以重大疫情防控体系、救治体系、应急保障体系为主的公共卫生体系建设。推进中医药传承创新发展，建立健全以丽水市中医院为龙头，县级中医医疗机构为骨干，社区卫生服务机构为基础的中医药服务体系。完善全民健身服务体系，全力推进健身与健康深度融合，加大科学健身指导，加强体医融合。</w:t>
      </w:r>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建设浙西南康养基地。</w:t>
      </w:r>
      <w:r>
        <w:rPr>
          <w:rFonts w:hint="eastAsia" w:ascii="仿宋_GB2312" w:hAnsi="仿宋_GB2312" w:eastAsia="仿宋_GB2312" w:cs="仿宋_GB2312"/>
          <w:color w:val="000000" w:themeColor="text1"/>
          <w:sz w:val="32"/>
          <w:szCs w:val="32"/>
          <w14:textFill>
            <w14:solidFill>
              <w14:schemeClr w14:val="tx1"/>
            </w14:solidFill>
          </w14:textFill>
        </w:rPr>
        <w:t>融合“水养、体养、文养、食养、药养、气养”，着重从森林康养、气候康养、中医药康养、温泉康养、康养旅游五个领域着手，打造具有丽水特色的气候疗养服务业态，开发与国际接轨的康复疗养项目。建设集诊、治、住、养为一体的森林康养医疗康复基地，积极争取康养费用纳入全省医保报销体系。重视不同类型自然资源的组合开发，创新康养产业与互联网、科技、金融等融合发展模式，引入国内外高端医养机构，建设莲都白云康养小镇、莲都峰源静谧养心小镇、龙泉市氧吧长寿小镇等“康养600”小镇集群，建设现代化康养产业体系。</w:t>
      </w:r>
    </w:p>
    <w:tbl>
      <w:tblPr>
        <w:tblStyle w:val="20"/>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472" w:type="dxa"/>
            <w:vAlign w:val="center"/>
          </w:tcPr>
          <w:p>
            <w:pPr>
              <w:spacing w:line="400" w:lineRule="exact"/>
              <w:jc w:val="center"/>
              <w:textAlignment w:val="baseline"/>
              <w:rPr>
                <w:b/>
                <w:color w:val="000000" w:themeColor="text1"/>
                <w:sz w:val="20"/>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专栏4-5：政府公共服务高质量品牌发展重点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8472" w:type="dxa"/>
            <w:vAlign w:val="center"/>
          </w:tcPr>
          <w:p>
            <w:pPr>
              <w:spacing w:line="400" w:lineRule="exact"/>
              <w:ind w:firstLine="601"/>
              <w:textAlignment w:val="baseline"/>
              <w:rPr>
                <w:rFonts w:ascii="仿宋_GB2312" w:hAnsi="仿宋_GB2312" w:eastAsia="仿宋_GB2312" w:cs="仿宋_GB2312"/>
                <w:color w:val="000000" w:themeColor="text1"/>
                <w:kern w:val="2"/>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擦亮丽水全域旅游金名片。</w:t>
            </w:r>
            <w:r>
              <w:rPr>
                <w:rFonts w:hint="eastAsia" w:ascii="仿宋_GB2312" w:hAnsi="仿宋_GB2312" w:eastAsia="仿宋_GB2312" w:cs="仿宋_GB2312"/>
                <w:color w:val="000000" w:themeColor="text1"/>
                <w:kern w:val="2"/>
                <w14:textFill>
                  <w14:solidFill>
                    <w14:schemeClr w14:val="tx1"/>
                  </w14:solidFill>
                </w14:textFill>
              </w:rPr>
              <w:t>支持古堰画乡、云和梯田等旅游景区建设，到2025年，新创成国家5A级旅游景区1个以上、国家旅游度假区1个。构建康养度假、艺术文创、乡愁体验、亲子游学、户外运动等产业集群，场景化打造“瓯江行旅图”“处州风华录”“江南秘境乡”等经典旅游产品，谋划建设一批具有引爆效应的休闲、度假、康养等旗舰型旅游项目。</w:t>
            </w:r>
          </w:p>
          <w:p>
            <w:pPr>
              <w:spacing w:line="400" w:lineRule="exact"/>
              <w:ind w:firstLine="601"/>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大力推进品质消费。</w:t>
            </w:r>
            <w:r>
              <w:rPr>
                <w:rFonts w:hint="eastAsia" w:ascii="仿宋_GB2312" w:hAnsi="仿宋_GB2312" w:eastAsia="仿宋_GB2312" w:cs="仿宋_GB2312"/>
                <w:color w:val="000000" w:themeColor="text1"/>
                <w14:textFill>
                  <w14:solidFill>
                    <w14:schemeClr w14:val="tx1"/>
                  </w14:solidFill>
                </w14:textFill>
              </w:rPr>
              <w:t>推进消费结构优化和提档升级，培育康养、文旅、体育、托幼服务、农村消费等消费热点。推动“云”消费新场景应用，发展网购商品、在线内容等数字新消费。到2025年，社会消费品零售总额达到1100亿，网络零售总额达到770亿元。深入开展夜间经济城市试点建设，形成一批餐饮集聚型、文体消费型、休闲生活型夜间经济集聚区。深入开展放心消费行动，完善消费领域信用制度，建立完备的消费权益维护体系。</w:t>
            </w:r>
          </w:p>
          <w:p>
            <w:pPr>
              <w:spacing w:line="400" w:lineRule="exact"/>
              <w:ind w:firstLine="601"/>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打造特色地域文化品牌。</w:t>
            </w:r>
            <w:r>
              <w:rPr>
                <w:rFonts w:hint="eastAsia" w:ascii="仿宋_GB2312" w:hAnsi="仿宋_GB2312" w:eastAsia="仿宋_GB2312" w:cs="仿宋_GB2312"/>
                <w:color w:val="000000" w:themeColor="text1"/>
                <w14:textFill>
                  <w14:solidFill>
                    <w14:schemeClr w14:val="tx1"/>
                  </w14:solidFill>
                </w14:textFill>
              </w:rPr>
              <w:t>深入实施基因解码工程，重点培育市级公共文化品牌10项，县级文化品牌30项。</w:t>
            </w:r>
            <w:r>
              <w:rPr>
                <w:rFonts w:hint="eastAsia" w:ascii="仿宋_GB2312" w:hAnsi="仿宋_GB2312" w:eastAsia="仿宋_GB2312" w:cs="仿宋_GB2312"/>
                <w:color w:val="000000" w:themeColor="text1"/>
                <w:kern w:val="2"/>
                <w14:textFill>
                  <w14:solidFill>
                    <w14:schemeClr w14:val="tx1"/>
                  </w14:solidFill>
                </w14:textFill>
              </w:rPr>
              <w:t>推动“龙泉窑大窑—金村遗址”、处州廊桥申报世界文化遗产，建设传统文化传承发展创新区。加强非遗知识产权的保护，保护和利用好畲族歌舞、畲族婚俗、畲族祭祀、畲族服饰、畲族语言等少数民族非物质文化遗产。支持创建省级非遗旅游景区(民俗文化村)</w:t>
            </w:r>
            <w:r>
              <w:rPr>
                <w:rFonts w:hint="eastAsia" w:ascii="仿宋_GB2312" w:hAnsi="仿宋_GB2312" w:eastAsia="仿宋_GB2312" w:cs="仿宋_GB2312"/>
                <w:color w:val="000000" w:themeColor="text1"/>
                <w14:textFill>
                  <w14:solidFill>
                    <w14:schemeClr w14:val="tx1"/>
                  </w14:solidFill>
                </w14:textFill>
              </w:rPr>
              <w:t>，</w:t>
            </w:r>
            <w:r>
              <w:rPr>
                <w:rFonts w:hint="eastAsia" w:ascii="仿宋_GB2312" w:hAnsi="仿宋_GB2312" w:eastAsia="仿宋_GB2312" w:cs="仿宋_GB2312"/>
                <w:color w:val="000000" w:themeColor="text1"/>
                <w:kern w:val="2"/>
                <w14:textFill>
                  <w14:solidFill>
                    <w14:schemeClr w14:val="tx1"/>
                  </w14:solidFill>
                </w14:textFill>
              </w:rPr>
              <w:t>打造一批乡村民俗体验基地和民俗文化村。活化丽水传统文化，振兴松阳高腔、遂昌昆曲十番、处州乱弹、青田鼓词、缙云婺剧等民间艺术精品。实施文艺精品工程，推出一批讲述丽水故事、传播丽水声音的精品力作。提升仙都公祭轩辕黄帝大典、石雕文化节、青瓷宝剑文化旅游节、中国畲乡三月三、香菇文化节等节庆活动。</w:t>
            </w:r>
          </w:p>
          <w:p>
            <w:pPr>
              <w:spacing w:line="400" w:lineRule="exact"/>
              <w:ind w:firstLine="601"/>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打造健康丽水服务品牌。</w:t>
            </w:r>
            <w:r>
              <w:rPr>
                <w:rFonts w:hint="eastAsia" w:ascii="仿宋_GB2312" w:hAnsi="仿宋_GB2312" w:eastAsia="仿宋_GB2312" w:cs="仿宋_GB2312"/>
                <w:color w:val="000000" w:themeColor="text1"/>
                <w14:textFill>
                  <w14:solidFill>
                    <w14:schemeClr w14:val="tx1"/>
                  </w14:solidFill>
                </w14:textFill>
              </w:rPr>
              <w:t>建设浙西南区域诊疗中心，构建15分钟医疗服务圈。推进中医药传承创新发展，建立健全以丽水市中医院为龙头，县级中医医疗机构为骨干，社区卫生服务机构为基础的中医药服务体系。推进县级疾控中心达标和能力提升工程，疾控机构标准化率达到1</w:t>
            </w:r>
            <w:r>
              <w:rPr>
                <w:rFonts w:ascii="仿宋_GB2312" w:hAnsi="仿宋_GB2312" w:eastAsia="仿宋_GB2312" w:cs="仿宋_GB2312"/>
                <w:color w:val="000000" w:themeColor="text1"/>
                <w14:textFill>
                  <w14:solidFill>
                    <w14:schemeClr w14:val="tx1"/>
                  </w14:solidFill>
                </w14:textFill>
              </w:rPr>
              <w:t>00%</w:t>
            </w:r>
            <w:r>
              <w:rPr>
                <w:rFonts w:hint="eastAsia" w:ascii="仿宋_GB2312" w:hAnsi="仿宋_GB2312" w:eastAsia="仿宋_GB2312" w:cs="仿宋_GB2312"/>
                <w:color w:val="000000" w:themeColor="text1"/>
                <w14:textFill>
                  <w14:solidFill>
                    <w14:schemeClr w14:val="tx1"/>
                  </w14:solidFill>
                </w14:textFill>
              </w:rPr>
              <w:t>。推动中西医临床融合发展，构建现代中医药产业体系，培育做强中药材市场，促进畲族医药临床研究及应用，创建“浙丽中医”“浙丽畲药”品牌。争创国家级和省级名老中医专家传承工作室。实施公共体育场馆服务提升工程，形成“十分钟健身圈”，争取承办第十八届省运会。</w:t>
            </w:r>
          </w:p>
        </w:tc>
      </w:tr>
    </w:tbl>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28" w:name="_Toc79779438"/>
      <w:r>
        <w:rPr>
          <w:b w:val="0"/>
          <w:bCs w:val="0"/>
          <w:color w:val="000000" w:themeColor="text1"/>
          <w14:textFill>
            <w14:solidFill>
              <w14:schemeClr w14:val="tx1"/>
            </w14:solidFill>
          </w14:textFill>
        </w:rPr>
        <w:t>五、树立</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丽水建设</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高质量标杆</w:t>
      </w:r>
      <w:bookmarkEnd w:id="28"/>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29" w:name="_Toc79779439"/>
      <w:r>
        <w:rPr>
          <w:rFonts w:ascii="Times New Roman" w:hAnsi="Times New Roman" w:eastAsia="楷体_GB2312" w:cs="Times New Roman"/>
          <w:b w:val="0"/>
          <w:color w:val="000000" w:themeColor="text1"/>
          <w14:textFill>
            <w14:solidFill>
              <w14:schemeClr w14:val="tx1"/>
            </w14:solidFill>
          </w14:textFill>
        </w:rPr>
        <w:t>（一）提升工程建设质量水平</w:t>
      </w:r>
      <w:bookmarkEnd w:id="29"/>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构建新型建筑市场监管机制。</w:t>
      </w:r>
      <w:r>
        <w:rPr>
          <w:rFonts w:hint="eastAsia" w:ascii="仿宋_GB2312" w:hAnsi="仿宋_GB2312" w:eastAsia="仿宋_GB2312" w:cs="仿宋_GB2312"/>
          <w:color w:val="000000" w:themeColor="text1"/>
          <w:sz w:val="32"/>
          <w:szCs w:val="32"/>
          <w14:textFill>
            <w14:solidFill>
              <w14:schemeClr w14:val="tx1"/>
            </w14:solidFill>
          </w14:textFill>
        </w:rPr>
        <w:t>严格执行工程质量终身责任制，履行政府监管职责，引入社会监督机制，强化工程招投标管理。加强全市建筑市场信息化建设，实现数据共享，以数字赋能提升整体智治能力。健全违法违规行为记录制度，加快建筑市场信用评价体系建设，完善建筑市场主体失信黑名单制度，将工程质量违法违规等记录作为建筑市场主体信用评价的重要内容，构建以信用监管为基础，以数字化、信息化管理手段为依托，实行“双随机、一公开”监管为基本手段的监管机制。深化智慧工地创建，推广工程建设数字化成果交付与应用，实行质量安全在线预警、管控，逐步实现建设过程全生命周期管理，质量安全生产事故死亡率控制在省级下达指标内，争取无发生死亡事故。</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推行绿色建造方式。</w:t>
      </w:r>
      <w:r>
        <w:rPr>
          <w:rFonts w:hint="eastAsia" w:ascii="仿宋_GB2312" w:hAnsi="仿宋_GB2312" w:eastAsia="仿宋_GB2312" w:cs="仿宋_GB2312"/>
          <w:color w:val="000000" w:themeColor="text1"/>
          <w:sz w:val="32"/>
          <w:szCs w:val="32"/>
          <w14:textFill>
            <w14:solidFill>
              <w14:schemeClr w14:val="tx1"/>
            </w14:solidFill>
          </w14:textFill>
        </w:rPr>
        <w:t>加快推进绿色建筑创建行动，规范绿色建筑标识管理，大力发展高星级绿色建筑。推动绿色建筑与建材协同发展，提升绿色建材质量，加强绿色建材运用。积极鼓励企业加大技术创新及研发投入，加快推进装配式混凝土建筑和钢结构建筑融合发展，加快推进绿色施工技术，创新精益化、智能化生产施工组织方式，全面提升工程质量性能和品质。</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8"/>
              <w:textAlignment w:val="baseline"/>
              <w:rPr>
                <w:rFonts w:ascii="宋体" w:hAnsi="宋体"/>
                <w:color w:val="000000" w:themeColor="text1"/>
                <w:sz w:val="30"/>
                <w:szCs w:val="30"/>
                <w14:textFill>
                  <w14:solidFill>
                    <w14:schemeClr w14:val="tx1"/>
                  </w14:solidFill>
                </w14:textFill>
              </w:rPr>
            </w:pPr>
            <w:r>
              <w:rPr>
                <w:rFonts w:hint="eastAsia" w:ascii="楷体_GB2312" w:hAnsi="楷体_GB2312" w:eastAsia="楷体_GB2312" w:cs="楷体_GB2312"/>
                <w:b/>
                <w:bCs/>
                <w:color w:val="000000" w:themeColor="text1"/>
                <w:kern w:val="0"/>
                <w:sz w:val="24"/>
                <w14:textFill>
                  <w14:solidFill>
                    <w14:schemeClr w14:val="tx1"/>
                  </w14:solidFill>
                </w14:textFill>
              </w:rPr>
              <w:t>专栏5-1：推行绿色建造方式重点目标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0" w:firstLineChars="200"/>
              <w:textAlignment w:val="baseline"/>
              <w:rPr>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到2025年末，城镇绿色建筑占新建民用建筑比例达100%，装配式建筑占新建建筑比例达35%。全面落实工程质量终身责任制，保证工程质量责任“三项制度”覆盖率100%。</w:t>
            </w:r>
          </w:p>
        </w:tc>
      </w:tr>
    </w:tbl>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加快建筑科技创新。</w:t>
      </w:r>
      <w:r>
        <w:rPr>
          <w:rFonts w:hint="eastAsia" w:ascii="仿宋_GB2312" w:hAnsi="仿宋_GB2312" w:eastAsia="仿宋_GB2312" w:cs="仿宋_GB2312"/>
          <w:color w:val="000000" w:themeColor="text1"/>
          <w:sz w:val="32"/>
          <w:szCs w:val="32"/>
          <w14:textFill>
            <w14:solidFill>
              <w14:schemeClr w14:val="tx1"/>
            </w14:solidFill>
          </w14:textFill>
        </w:rPr>
        <w:t>强化企业建筑科技创新的主体地位，鼓励企业研发投入，支持企业申请高新技术企业等认定。推进产学研用一体化，加大关键共性技术、重大装备和数字化、智能化工程建设装备研发力度，加快推进建筑机器人与建造技术的结合应用。推进建筑信息模型（BIM）、大数据、移动互联网、云计算、物联网、人工智能等在工程全过程的集成应用。建立一体化工程建设数字化管理系统，以数字赋能提升工程建设领域整体智治能力。推广先进工法，带动施工技术和管理创新，推进中国未来建筑科技小镇建设。</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8"/>
              <w:textAlignment w:val="baseline"/>
              <w:rPr>
                <w:rFonts w:ascii="宋体" w:hAnsi="宋体"/>
                <w:color w:val="000000" w:themeColor="text1"/>
                <w:sz w:val="30"/>
                <w:szCs w:val="30"/>
                <w14:textFill>
                  <w14:solidFill>
                    <w14:schemeClr w14:val="tx1"/>
                  </w14:solidFill>
                </w14:textFill>
              </w:rPr>
            </w:pPr>
            <w:r>
              <w:rPr>
                <w:rFonts w:hint="eastAsia" w:ascii="楷体_GB2312" w:hAnsi="楷体_GB2312" w:eastAsia="楷体_GB2312" w:cs="楷体_GB2312"/>
                <w:b/>
                <w:bCs/>
                <w:color w:val="000000" w:themeColor="text1"/>
                <w:kern w:val="0"/>
                <w:sz w:val="24"/>
                <w14:textFill>
                  <w14:solidFill>
                    <w14:schemeClr w14:val="tx1"/>
                  </w14:solidFill>
                </w14:textFill>
              </w:rPr>
              <w:t>专栏5-</w:t>
            </w:r>
            <w:r>
              <w:rPr>
                <w:rFonts w:ascii="楷体_GB2312" w:hAnsi="楷体_GB2312" w:eastAsia="楷体_GB2312" w:cs="楷体_GB2312"/>
                <w:b/>
                <w:bCs/>
                <w:color w:val="000000" w:themeColor="text1"/>
                <w:kern w:val="0"/>
                <w:sz w:val="24"/>
                <w14:textFill>
                  <w14:solidFill>
                    <w14:schemeClr w14:val="tx1"/>
                  </w14:solidFill>
                </w14:textFill>
              </w:rPr>
              <w:t>2</w:t>
            </w:r>
            <w:r>
              <w:rPr>
                <w:rFonts w:hint="eastAsia" w:ascii="楷体_GB2312" w:hAnsi="楷体_GB2312" w:eastAsia="楷体_GB2312" w:cs="楷体_GB2312"/>
                <w:b/>
                <w:bCs/>
                <w:color w:val="000000" w:themeColor="text1"/>
                <w:kern w:val="0"/>
                <w:sz w:val="24"/>
                <w14:textFill>
                  <w14:solidFill>
                    <w14:schemeClr w14:val="tx1"/>
                  </w14:solidFill>
                </w14:textFill>
              </w:rPr>
              <w:t>：</w:t>
            </w:r>
            <w:r>
              <w:rPr>
                <w:rFonts w:ascii="楷体_GB2312" w:hAnsi="楷体_GB2312" w:eastAsia="楷体_GB2312" w:cs="楷体_GB2312"/>
                <w:b/>
                <w:bCs/>
                <w:color w:val="000000" w:themeColor="text1"/>
                <w:kern w:val="0"/>
                <w:sz w:val="24"/>
                <w14:textFill>
                  <w14:solidFill>
                    <w14:schemeClr w14:val="tx1"/>
                  </w14:solidFill>
                </w14:textFill>
              </w:rPr>
              <w:t>加快建筑科技创新</w:t>
            </w:r>
            <w:r>
              <w:rPr>
                <w:rFonts w:hint="eastAsia" w:ascii="楷体_GB2312" w:hAnsi="楷体_GB2312" w:eastAsia="楷体_GB2312" w:cs="楷体_GB2312"/>
                <w:b/>
                <w:bCs/>
                <w:color w:val="000000" w:themeColor="text1"/>
                <w:kern w:val="0"/>
                <w:sz w:val="24"/>
                <w14:textFill>
                  <w14:solidFill>
                    <w14:schemeClr w14:val="tx1"/>
                  </w14:solidFill>
                </w14:textFill>
              </w:rPr>
              <w:t>重点目标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0" w:firstLineChars="200"/>
              <w:textAlignment w:val="baseline"/>
              <w:rPr>
                <w:color w:val="000000" w:themeColor="text1"/>
                <w:kern w:val="2"/>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建筑信息模型</w:t>
            </w:r>
            <w:r>
              <w:rPr>
                <w:rFonts w:ascii="仿宋_GB2312" w:hAnsi="仿宋_GB2312" w:eastAsia="仿宋_GB2312" w:cs="仿宋_GB2312"/>
                <w:color w:val="000000" w:themeColor="text1"/>
                <w14:textFill>
                  <w14:solidFill>
                    <w14:schemeClr w14:val="tx1"/>
                  </w14:solidFill>
                </w14:textFill>
              </w:rPr>
              <w:t>（</w:t>
            </w:r>
            <w:r>
              <w:rPr>
                <w:rFonts w:hint="eastAsia" w:ascii="仿宋_GB2312" w:hAnsi="仿宋_GB2312" w:eastAsia="仿宋_GB2312" w:cs="仿宋_GB2312"/>
                <w:color w:val="000000" w:themeColor="text1"/>
                <w14:textFill>
                  <w14:solidFill>
                    <w14:schemeClr w14:val="tx1"/>
                  </w14:solidFill>
                </w14:textFill>
              </w:rPr>
              <w:t>BIM</w:t>
            </w:r>
            <w:r>
              <w:rPr>
                <w:rFonts w:ascii="仿宋_GB2312" w:hAnsi="仿宋_GB2312" w:eastAsia="仿宋_GB2312" w:cs="仿宋_GB2312"/>
                <w:color w:val="000000" w:themeColor="text1"/>
                <w14:textFill>
                  <w14:solidFill>
                    <w14:schemeClr w14:val="tx1"/>
                  </w14:solidFill>
                </w14:textFill>
              </w:rPr>
              <w:t>）、物联网、大数据、云计算、</w:t>
            </w:r>
            <w:r>
              <w:rPr>
                <w:rFonts w:hint="eastAsia" w:ascii="仿宋_GB2312" w:hAnsi="仿宋_GB2312" w:eastAsia="仿宋_GB2312" w:cs="仿宋_GB2312"/>
                <w:color w:val="000000" w:themeColor="text1"/>
                <w14:textFill>
                  <w14:solidFill>
                    <w14:schemeClr w14:val="tx1"/>
                  </w14:solidFill>
                </w14:textFill>
              </w:rPr>
              <w:t>智能建造等数字技术全面应用于建筑产业，数字化应用能力进一步提升。智慧工地覆盖率达到1</w:t>
            </w:r>
            <w:r>
              <w:rPr>
                <w:rFonts w:ascii="仿宋_GB2312" w:hAnsi="仿宋_GB2312" w:eastAsia="仿宋_GB2312" w:cs="仿宋_GB2312"/>
                <w:color w:val="000000" w:themeColor="text1"/>
                <w14:textFill>
                  <w14:solidFill>
                    <w14:schemeClr w14:val="tx1"/>
                  </w14:solidFill>
                </w14:textFill>
              </w:rPr>
              <w:t>00%</w:t>
            </w:r>
            <w:r>
              <w:rPr>
                <w:rFonts w:hint="eastAsia" w:ascii="仿宋_GB2312" w:hAnsi="仿宋_GB2312" w:eastAsia="仿宋_GB2312" w:cs="仿宋_GB2312"/>
                <w:color w:val="000000" w:themeColor="text1"/>
                <w14:textFill>
                  <w14:solidFill>
                    <w14:schemeClr w14:val="tx1"/>
                  </w14:solidFill>
                </w14:textFill>
              </w:rPr>
              <w:t>。累计建成省级以上技术中心1</w:t>
            </w:r>
            <w:r>
              <w:rPr>
                <w:rFonts w:ascii="仿宋_GB2312" w:hAnsi="仿宋_GB2312" w:eastAsia="仿宋_GB2312" w:cs="仿宋_GB2312"/>
                <w:color w:val="000000" w:themeColor="text1"/>
                <w14:textFill>
                  <w14:solidFill>
                    <w14:schemeClr w14:val="tx1"/>
                  </w14:solidFill>
                </w14:textFill>
              </w:rPr>
              <w:t>50</w:t>
            </w:r>
            <w:r>
              <w:rPr>
                <w:rFonts w:hint="eastAsia" w:ascii="仿宋_GB2312" w:hAnsi="仿宋_GB2312" w:eastAsia="仿宋_GB2312" w:cs="仿宋_GB2312"/>
                <w:color w:val="000000" w:themeColor="text1"/>
                <w14:textFill>
                  <w14:solidFill>
                    <w14:schemeClr w14:val="tx1"/>
                  </w14:solidFill>
                </w14:textFill>
              </w:rPr>
              <w:t>家。</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0" w:name="_Toc79779440"/>
      <w:r>
        <w:rPr>
          <w:rFonts w:ascii="Times New Roman" w:hAnsi="Times New Roman" w:eastAsia="楷体_GB2312" w:cs="Times New Roman"/>
          <w:b w:val="0"/>
          <w:color w:val="000000" w:themeColor="text1"/>
          <w14:textFill>
            <w14:solidFill>
              <w14:schemeClr w14:val="tx1"/>
            </w14:solidFill>
          </w14:textFill>
        </w:rPr>
        <w:t>（二）建立优质工程标准体系</w:t>
      </w:r>
      <w:bookmarkEnd w:id="30"/>
    </w:p>
    <w:p>
      <w:pPr>
        <w:spacing w:line="580" w:lineRule="exact"/>
        <w:ind w:firstLine="640"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加强中外工程建设标准比对研究，以国内外先进标准为标杆，围绕综合交通运输、水利工程、建筑工程、智慧城市等重点领域构建优质工程标准体系。实现各类工程项目、各建设环节的标准全覆盖，不断提升丽水工程建设的标准水平。完善工程建设标准实施监督机制，着力打造精品工程，塑造建设品牌，保障建设安全，着力打造一批全国一流示范工程，推动丽水成为全省建设领域的标杆。</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综合交通运输标准。</w:t>
      </w:r>
      <w:r>
        <w:rPr>
          <w:rFonts w:hint="eastAsia" w:ascii="仿宋_GB2312" w:hAnsi="仿宋_GB2312" w:eastAsia="仿宋_GB2312" w:cs="仿宋_GB2312"/>
          <w:color w:val="000000" w:themeColor="text1"/>
          <w:sz w:val="32"/>
          <w:szCs w:val="32"/>
          <w14:textFill>
            <w14:solidFill>
              <w14:schemeClr w14:val="tx1"/>
            </w14:solidFill>
          </w14:textFill>
        </w:rPr>
        <w:t>围绕建设完善“两纵两横七支”高速公路网络、“三纵三横”铁路网络以及融入全省“空中一小时交通圈”，全面加强工程建设、运输服务、行业管理、绿色交通、美丽交通等领域标准制定实施，增强行业治理能力，提高综合交通运输网络效率，降低交通运输物流成本，促进道路从单一交通功能向交通、游憩、景观和保护等复合功能转变。</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水利工程管理标准。</w:t>
      </w:r>
      <w:r>
        <w:rPr>
          <w:rFonts w:hint="eastAsia" w:ascii="仿宋_GB2312" w:hAnsi="仿宋_GB2312" w:eastAsia="仿宋_GB2312" w:cs="仿宋_GB2312"/>
          <w:color w:val="000000" w:themeColor="text1"/>
          <w:sz w:val="32"/>
          <w:szCs w:val="32"/>
          <w14:textFill>
            <w14:solidFill>
              <w14:schemeClr w14:val="tx1"/>
            </w14:solidFill>
          </w14:textFill>
        </w:rPr>
        <w:t>以建设安全美丽水利网络为目标，按照产权化、物业化、数字化的思路，以落实管理主体、深化管理改革等为重点，依据管理标准结合工程实际，制定水利工程标准化管理手册，全面建立水利工程标准化管理体系和运行管理机制，大力推进水工程生态建设标准化试点，全面提升行业管理能力。</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建筑工程规范标准。</w:t>
      </w:r>
      <w:r>
        <w:rPr>
          <w:rFonts w:hint="eastAsia" w:ascii="仿宋_GB2312" w:hAnsi="仿宋_GB2312" w:eastAsia="仿宋_GB2312" w:cs="仿宋_GB2312"/>
          <w:color w:val="000000" w:themeColor="text1"/>
          <w:sz w:val="32"/>
          <w:szCs w:val="32"/>
          <w14:textFill>
            <w14:solidFill>
              <w14:schemeClr w14:val="tx1"/>
            </w14:solidFill>
          </w14:textFill>
        </w:rPr>
        <w:t>按照“安全、绿色、低碳”要求，加强制定全国先进的建筑工程基础标准，严格实施建筑工程质量和安全、节能减排等强制性标准，加快绿色建筑、建筑节能、研制新型建筑工业化、住宅全装修等领域标准，实现建筑工程质量和安全方面技术标准全覆盖，促进建筑产业转型升级。</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智慧城市建设标准。</w:t>
      </w:r>
      <w:r>
        <w:rPr>
          <w:rFonts w:hint="eastAsia" w:ascii="仿宋_GB2312" w:hAnsi="仿宋_GB2312" w:eastAsia="仿宋_GB2312" w:cs="仿宋_GB2312"/>
          <w:color w:val="000000" w:themeColor="text1"/>
          <w:sz w:val="32"/>
          <w:szCs w:val="32"/>
          <w14:textFill>
            <w14:solidFill>
              <w14:schemeClr w14:val="tx1"/>
            </w14:solidFill>
          </w14:textFill>
        </w:rPr>
        <w:t>以信息基础设施建设和公共数据平台标准建设为重点，制定实施“城市大脑”智慧城市建设计划，加快制定实施智慧政务、智慧生活等领域标准，研制智慧城市云服务平台建设标准，形成具有丽水特色的智慧城市建设标准体系。</w:t>
      </w:r>
    </w:p>
    <w:tbl>
      <w:tblPr>
        <w:tblStyle w:val="20"/>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vAlign w:val="center"/>
          </w:tcPr>
          <w:p>
            <w:pPr>
              <w:spacing w:line="400" w:lineRule="exact"/>
              <w:jc w:val="center"/>
              <w:textAlignment w:val="baseline"/>
              <w:rPr>
                <w:bCs/>
                <w:color w:val="000000" w:themeColor="text1"/>
                <w:sz w:val="2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专栏5-3:优质工程标准体系重点领域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8472" w:type="dxa"/>
            <w:vAlign w:val="center"/>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综合交通运输：</w:t>
            </w:r>
            <w:r>
              <w:rPr>
                <w:rFonts w:hint="eastAsia" w:ascii="仿宋_GB2312" w:hAnsi="仿宋_GB2312" w:eastAsia="仿宋_GB2312" w:cs="仿宋_GB2312"/>
                <w:color w:val="000000" w:themeColor="text1"/>
                <w14:textFill>
                  <w14:solidFill>
                    <w14:schemeClr w14:val="tx1"/>
                  </w14:solidFill>
                </w14:textFill>
              </w:rPr>
              <w:t>交通基础设施建设、维护、管理、高速公路服务管理、高速公路景区化、交通运输信息系统、航道建设管理、“四好农村路”等标准。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水利工程管理：</w:t>
            </w:r>
            <w:r>
              <w:rPr>
                <w:rFonts w:hint="eastAsia" w:ascii="仿宋_GB2312" w:hAnsi="仿宋_GB2312" w:eastAsia="仿宋_GB2312" w:cs="仿宋_GB2312"/>
                <w:color w:val="000000" w:themeColor="text1"/>
                <w14:textFill>
                  <w14:solidFill>
                    <w14:schemeClr w14:val="tx1"/>
                  </w14:solidFill>
                </w14:textFill>
              </w:rPr>
              <w:t>水利工程管理标准：美丽河湖建设、小水电生态建设，小（微）型农村供水工程建设管理，水库、堤防、堰坝、水闸、泵站、水文站等水利设施建设管理标准。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建筑工程规范标准：</w:t>
            </w:r>
            <w:r>
              <w:rPr>
                <w:rFonts w:hint="eastAsia" w:ascii="仿宋_GB2312" w:hAnsi="仿宋_GB2312" w:eastAsia="仿宋_GB2312" w:cs="仿宋_GB2312"/>
                <w:color w:val="000000" w:themeColor="text1"/>
                <w14:textFill>
                  <w14:solidFill>
                    <w14:schemeClr w14:val="tx1"/>
                  </w14:solidFill>
                </w14:textFill>
              </w:rPr>
              <w:t>新型绿色建筑、装配式建筑、建筑节能、建筑工业化、住宅全装修、建筑信息模型技术应用等标准。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智慧城市建设：</w:t>
            </w:r>
            <w:r>
              <w:rPr>
                <w:rFonts w:hint="eastAsia" w:ascii="仿宋_GB2312" w:hAnsi="仿宋_GB2312" w:eastAsia="仿宋_GB2312" w:cs="仿宋_GB2312"/>
                <w:color w:val="000000" w:themeColor="text1"/>
                <w14:textFill>
                  <w14:solidFill>
                    <w14:schemeClr w14:val="tx1"/>
                  </w14:solidFill>
                </w14:textFill>
              </w:rPr>
              <w:t>智慧交通、智慧城管、智慧安全、智慧环保、智慧教育、智慧旅游、智慧健康、智慧养老、智慧政务等标准。</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1" w:name="_Toc79779441"/>
      <w:r>
        <w:rPr>
          <w:rFonts w:ascii="Times New Roman" w:hAnsi="Times New Roman" w:eastAsia="楷体_GB2312" w:cs="Times New Roman"/>
          <w:b w:val="0"/>
          <w:color w:val="000000" w:themeColor="text1"/>
          <w14:textFill>
            <w14:solidFill>
              <w14:schemeClr w14:val="tx1"/>
            </w14:solidFill>
          </w14:textFill>
        </w:rPr>
        <w:t>（三）加快工程建设品牌提升</w:t>
      </w:r>
      <w:bookmarkEnd w:id="31"/>
    </w:p>
    <w:p>
      <w:pPr>
        <w:widowControl w:val="0"/>
        <w:spacing w:line="580" w:lineRule="exact"/>
        <w:ind w:firstLine="643" w:firstLineChars="200"/>
        <w:jc w:val="both"/>
        <w:textAlignment w:val="baseline"/>
        <w:rPr>
          <w:rFonts w:ascii="Times New Roman" w:hAnsi="Times New Roman" w:eastAsia="仿宋_GB2312" w:cs="Times New Roman"/>
          <w:bCs/>
          <w:color w:val="000000" w:themeColor="text1"/>
          <w:kern w:val="2"/>
          <w:sz w:val="32"/>
          <w:szCs w:val="32"/>
          <w14:textFill>
            <w14:solidFill>
              <w14:schemeClr w14:val="tx1"/>
            </w14:solidFill>
          </w14:textFill>
        </w:rPr>
      </w:pPr>
      <w:r>
        <w:rPr>
          <w:rFonts w:hint="eastAsia" w:ascii="Times New Roman" w:hAnsi="Times New Roman" w:eastAsia="仿宋_GB2312"/>
          <w:b/>
          <w:color w:val="000000" w:themeColor="text1"/>
          <w:kern w:val="2"/>
          <w:sz w:val="32"/>
          <w:szCs w:val="32"/>
          <w14:textFill>
            <w14:solidFill>
              <w14:schemeClr w14:val="tx1"/>
            </w14:solidFill>
          </w14:textFill>
        </w:rPr>
        <w:t>全力打造丽水建设品牌。</w:t>
      </w:r>
      <w:r>
        <w:rPr>
          <w:rFonts w:ascii="Times New Roman" w:hAnsi="Times New Roman" w:eastAsia="仿宋_GB2312" w:cs="Times New Roman"/>
          <w:bCs/>
          <w:color w:val="000000" w:themeColor="text1"/>
          <w:kern w:val="2"/>
          <w:sz w:val="32"/>
          <w:szCs w:val="32"/>
          <w14:textFill>
            <w14:solidFill>
              <w14:schemeClr w14:val="tx1"/>
            </w14:solidFill>
          </w14:textFill>
        </w:rPr>
        <w:t>开展建筑工程创优活动，建立健全优质优价、差异化管理等工程质量激励机制。在招标投标、金融等方面加大对优秀企业的政策支持力度，将企业已承建工程质量情况纳入招标投标评审因素，鼓励将工程质量奖优惩劣内容列入合同约定条款。</w:t>
      </w:r>
      <w:r>
        <w:rPr>
          <w:rFonts w:hint="eastAsia" w:ascii="Times New Roman" w:hAnsi="Times New Roman" w:eastAsia="仿宋_GB2312"/>
          <w:bCs/>
          <w:color w:val="000000" w:themeColor="text1"/>
          <w:kern w:val="2"/>
          <w:sz w:val="32"/>
          <w:szCs w:val="32"/>
          <w14:textFill>
            <w14:solidFill>
              <w14:schemeClr w14:val="tx1"/>
            </w14:solidFill>
          </w14:textFill>
        </w:rPr>
        <w:t>鼓励</w:t>
      </w:r>
      <w:r>
        <w:rPr>
          <w:rFonts w:hint="eastAsia" w:eastAsia="仿宋_GB2312"/>
          <w:bCs/>
          <w:color w:val="000000" w:themeColor="text1"/>
          <w:sz w:val="32"/>
          <w:szCs w:val="32"/>
          <w14:textFill>
            <w14:solidFill>
              <w14:schemeClr w14:val="tx1"/>
            </w14:solidFill>
          </w14:textFill>
        </w:rPr>
        <w:t>优秀</w:t>
      </w:r>
      <w:r>
        <w:rPr>
          <w:rFonts w:hint="eastAsia" w:ascii="Times New Roman" w:hAnsi="Times New Roman" w:eastAsia="仿宋_GB2312"/>
          <w:bCs/>
          <w:color w:val="000000" w:themeColor="text1"/>
          <w:kern w:val="2"/>
          <w:sz w:val="32"/>
          <w:szCs w:val="32"/>
          <w14:textFill>
            <w14:solidFill>
              <w14:schemeClr w14:val="tx1"/>
            </w14:solidFill>
          </w14:textFill>
        </w:rPr>
        <w:t>建筑企业</w:t>
      </w:r>
      <w:r>
        <w:rPr>
          <w:rFonts w:ascii="Times New Roman" w:hAnsi="Times New Roman" w:eastAsia="仿宋_GB2312"/>
          <w:bCs/>
          <w:color w:val="000000" w:themeColor="text1"/>
          <w:kern w:val="2"/>
          <w:sz w:val="32"/>
          <w:szCs w:val="32"/>
          <w14:textFill>
            <w14:solidFill>
              <w14:schemeClr w14:val="tx1"/>
            </w14:solidFill>
          </w14:textFill>
        </w:rPr>
        <w:t>争创</w:t>
      </w:r>
      <w:r>
        <w:rPr>
          <w:rFonts w:hint="eastAsia" w:ascii="Times New Roman" w:hAnsi="Times New Roman" w:eastAsia="仿宋_GB2312"/>
          <w:bCs/>
          <w:color w:val="000000" w:themeColor="text1"/>
          <w:kern w:val="2"/>
          <w:sz w:val="32"/>
          <w:szCs w:val="32"/>
          <w14:textFill>
            <w14:solidFill>
              <w14:schemeClr w14:val="tx1"/>
            </w14:solidFill>
          </w14:textFill>
        </w:rPr>
        <w:t>中国建设工程</w:t>
      </w:r>
      <w:r>
        <w:rPr>
          <w:rFonts w:ascii="Times New Roman" w:hAnsi="Times New Roman" w:eastAsia="仿宋_GB2312"/>
          <w:bCs/>
          <w:color w:val="000000" w:themeColor="text1"/>
          <w:kern w:val="2"/>
          <w:sz w:val="32"/>
          <w:szCs w:val="32"/>
          <w14:textFill>
            <w14:solidFill>
              <w14:schemeClr w14:val="tx1"/>
            </w14:solidFill>
          </w14:textFill>
        </w:rPr>
        <w:t>鲁班奖</w:t>
      </w:r>
      <w:r>
        <w:rPr>
          <w:rFonts w:hint="eastAsia" w:ascii="Times New Roman" w:hAnsi="Times New Roman" w:eastAsia="仿宋_GB2312"/>
          <w:bCs/>
          <w:color w:val="000000" w:themeColor="text1"/>
          <w:kern w:val="2"/>
          <w:sz w:val="32"/>
          <w:szCs w:val="32"/>
          <w14:textFill>
            <w14:solidFill>
              <w14:schemeClr w14:val="tx1"/>
            </w14:solidFill>
          </w14:textFill>
        </w:rPr>
        <w:t>（国家优质工程奖）、</w:t>
      </w:r>
      <w:r>
        <w:rPr>
          <w:rFonts w:ascii="Times New Roman" w:hAnsi="Times New Roman" w:eastAsia="仿宋_GB2312"/>
          <w:bCs/>
          <w:color w:val="000000" w:themeColor="text1"/>
          <w:kern w:val="2"/>
          <w:sz w:val="32"/>
          <w:szCs w:val="32"/>
          <w14:textFill>
            <w14:solidFill>
              <w14:schemeClr w14:val="tx1"/>
            </w14:solidFill>
          </w14:textFill>
        </w:rPr>
        <w:t>浙江省建设工程钱江杯奖(优质工程)、丽水市建设工程九龙杯（优质工程）</w:t>
      </w:r>
      <w:r>
        <w:rPr>
          <w:rFonts w:hint="eastAsia" w:ascii="Times New Roman" w:hAnsi="Times New Roman" w:eastAsia="仿宋_GB2312"/>
          <w:bCs/>
          <w:color w:val="000000" w:themeColor="text1"/>
          <w:kern w:val="2"/>
          <w:sz w:val="32"/>
          <w:szCs w:val="32"/>
          <w14:textFill>
            <w14:solidFill>
              <w14:schemeClr w14:val="tx1"/>
            </w14:solidFill>
          </w14:textFill>
        </w:rPr>
        <w:t>。</w:t>
      </w:r>
    </w:p>
    <w:p>
      <w:pPr>
        <w:ind w:firstLine="643" w:firstLineChars="200"/>
        <w:textAlignment w:val="baseline"/>
        <w:rPr>
          <w:rFonts w:ascii="Times New Roman" w:hAnsi="Times New Roman" w:eastAsia="仿宋_GB2312" w:cs="Times New Roman"/>
          <w:bCs/>
          <w:color w:val="000000" w:themeColor="text1"/>
          <w:kern w:val="2"/>
          <w:sz w:val="32"/>
          <w:szCs w:val="32"/>
          <w14:textFill>
            <w14:solidFill>
              <w14:schemeClr w14:val="tx1"/>
            </w14:solidFill>
          </w14:textFill>
        </w:rPr>
      </w:pPr>
      <w:r>
        <w:rPr>
          <w:rFonts w:hint="eastAsia" w:ascii="Times New Roman" w:hAnsi="Times New Roman" w:eastAsia="仿宋_GB2312"/>
          <w:b/>
          <w:color w:val="000000" w:themeColor="text1"/>
          <w:kern w:val="2"/>
          <w:sz w:val="32"/>
          <w:szCs w:val="32"/>
          <w14:textFill>
            <w14:solidFill>
              <w14:schemeClr w14:val="tx1"/>
            </w14:solidFill>
          </w14:textFill>
        </w:rPr>
        <w:t>持续提升运输工程品牌。</w:t>
      </w:r>
      <w:r>
        <w:rPr>
          <w:rFonts w:hint="eastAsia" w:ascii="Times New Roman" w:hAnsi="Times New Roman" w:eastAsia="仿宋_GB2312" w:cs="Times New Roman"/>
          <w:bCs/>
          <w:color w:val="000000" w:themeColor="text1"/>
          <w:kern w:val="2"/>
          <w:sz w:val="32"/>
          <w:szCs w:val="32"/>
          <w14:textFill>
            <w14:solidFill>
              <w14:schemeClr w14:val="tx1"/>
            </w14:solidFill>
          </w14:textFill>
        </w:rPr>
        <w:t>遵循鼓励创新和发展，创造和运用先进的施工技术和方法，整体工程突出应用先进的科学技术成果，提升运输工程建设品牌，争创</w:t>
      </w:r>
      <w:r>
        <w:rPr>
          <w:rFonts w:ascii="Times New Roman" w:hAnsi="Times New Roman" w:eastAsia="仿宋_GB2312" w:cs="Times New Roman"/>
          <w:bCs/>
          <w:color w:val="000000" w:themeColor="text1"/>
          <w:kern w:val="2"/>
          <w:sz w:val="32"/>
          <w:szCs w:val="32"/>
          <w14:textFill>
            <w14:solidFill>
              <w14:schemeClr w14:val="tx1"/>
            </w14:solidFill>
          </w14:textFill>
        </w:rPr>
        <w:t>中国土木工程詹天佑奖</w:t>
      </w:r>
      <w:r>
        <w:rPr>
          <w:rFonts w:hint="eastAsia" w:ascii="Times New Roman" w:hAnsi="Times New Roman" w:eastAsia="仿宋_GB2312" w:cs="Times New Roman"/>
          <w:bCs/>
          <w:color w:val="000000" w:themeColor="text1"/>
          <w:kern w:val="2"/>
          <w:sz w:val="32"/>
          <w:szCs w:val="32"/>
          <w14:textFill>
            <w14:solidFill>
              <w14:schemeClr w14:val="tx1"/>
            </w14:solidFill>
          </w14:textFill>
        </w:rPr>
        <w:t>、达到国内同类工程中的一流水平。</w:t>
      </w:r>
    </w:p>
    <w:p>
      <w:pPr>
        <w:ind w:firstLine="643" w:firstLineChars="200"/>
        <w:textAlignment w:val="baseline"/>
        <w:rPr>
          <w:rFonts w:ascii="Times New Roman" w:hAnsi="Times New Roman" w:eastAsia="仿宋_GB2312" w:cs="Times New Roman"/>
          <w:bCs/>
          <w:color w:val="000000" w:themeColor="text1"/>
          <w:kern w:val="2"/>
          <w:sz w:val="32"/>
          <w:szCs w:val="32"/>
          <w14:textFill>
            <w14:solidFill>
              <w14:schemeClr w14:val="tx1"/>
            </w14:solidFill>
          </w14:textFill>
        </w:rPr>
      </w:pPr>
      <w:r>
        <w:rPr>
          <w:rFonts w:hint="eastAsia" w:eastAsia="仿宋_GB2312"/>
          <w:b/>
          <w:color w:val="000000"/>
          <w:sz w:val="32"/>
          <w:szCs w:val="32"/>
        </w:rPr>
        <w:t>着力打造水</w:t>
      </w:r>
      <w:r>
        <w:rPr>
          <w:rFonts w:eastAsia="仿宋_GB2312"/>
          <w:b/>
          <w:color w:val="000000"/>
          <w:sz w:val="32"/>
          <w:szCs w:val="32"/>
        </w:rPr>
        <w:t>利</w:t>
      </w:r>
      <w:r>
        <w:rPr>
          <w:rFonts w:hint="eastAsia" w:eastAsia="仿宋_GB2312"/>
          <w:b/>
          <w:color w:val="000000"/>
          <w:sz w:val="32"/>
          <w:szCs w:val="32"/>
        </w:rPr>
        <w:t>工程精品。</w:t>
      </w:r>
      <w:r>
        <w:rPr>
          <w:rFonts w:hint="eastAsia" w:ascii="Times New Roman" w:hAnsi="Times New Roman" w:eastAsia="仿宋_GB2312" w:cs="Times New Roman"/>
          <w:bCs/>
          <w:color w:val="000000"/>
          <w:kern w:val="2"/>
          <w:sz w:val="32"/>
          <w:szCs w:val="32"/>
        </w:rPr>
        <w:t>以争创中</w:t>
      </w:r>
      <w:r>
        <w:rPr>
          <w:rFonts w:ascii="Times New Roman" w:hAnsi="Times New Roman" w:eastAsia="仿宋_GB2312" w:cs="Times New Roman"/>
          <w:bCs/>
          <w:color w:val="000000"/>
          <w:kern w:val="2"/>
          <w:sz w:val="32"/>
          <w:szCs w:val="32"/>
        </w:rPr>
        <w:t>国水利工程优质（大禹）奖</w:t>
      </w:r>
      <w:r>
        <w:rPr>
          <w:rFonts w:hint="eastAsia" w:ascii="Times New Roman" w:hAnsi="Times New Roman" w:cs="Times New Roman"/>
          <w:bCs/>
          <w:color w:val="000000"/>
          <w:kern w:val="2"/>
          <w:sz w:val="32"/>
          <w:szCs w:val="32"/>
        </w:rPr>
        <w:t>、</w:t>
      </w:r>
      <w:r>
        <w:rPr>
          <w:rFonts w:ascii="Times New Roman" w:hAnsi="Times New Roman" w:eastAsia="仿宋_GB2312"/>
          <w:bCs/>
          <w:color w:val="000000"/>
          <w:kern w:val="2"/>
          <w:sz w:val="32"/>
          <w:szCs w:val="32"/>
        </w:rPr>
        <w:t>浙江省建设工程钱江杯奖(优质工程)、丽水市建设工程九龙杯（优质工程）</w:t>
      </w:r>
      <w:r>
        <w:rPr>
          <w:rFonts w:hint="eastAsia" w:ascii="Times New Roman" w:hAnsi="Times New Roman" w:eastAsia="仿宋_GB2312" w:cs="Times New Roman"/>
          <w:bCs/>
          <w:color w:val="000000"/>
          <w:kern w:val="2"/>
          <w:sz w:val="32"/>
          <w:szCs w:val="32"/>
        </w:rPr>
        <w:t>等各级水利工程奖项为导向</w:t>
      </w:r>
      <w:r>
        <w:rPr>
          <w:rFonts w:hint="eastAsia" w:ascii="Times New Roman" w:hAnsi="Times New Roman" w:cs="Times New Roman"/>
          <w:bCs/>
          <w:color w:val="000000"/>
          <w:kern w:val="2"/>
          <w:sz w:val="32"/>
          <w:szCs w:val="32"/>
        </w:rPr>
        <w:t>。</w:t>
      </w:r>
      <w:r>
        <w:rPr>
          <w:rFonts w:ascii="Times New Roman" w:hAnsi="Times New Roman" w:eastAsia="仿宋_GB2312" w:cs="Times New Roman"/>
          <w:bCs/>
          <w:color w:val="000000"/>
          <w:kern w:val="2"/>
          <w:sz w:val="32"/>
          <w:szCs w:val="32"/>
        </w:rPr>
        <w:t>落实</w:t>
      </w:r>
      <w:r>
        <w:rPr>
          <w:rFonts w:hint="eastAsia" w:ascii="Times New Roman" w:hAnsi="Times New Roman" w:eastAsia="仿宋_GB2312" w:cs="Times New Roman"/>
          <w:bCs/>
          <w:color w:val="000000"/>
          <w:kern w:val="2"/>
          <w:sz w:val="32"/>
          <w:szCs w:val="32"/>
        </w:rPr>
        <w:t>水利工程</w:t>
      </w:r>
      <w:r>
        <w:rPr>
          <w:rFonts w:ascii="Times New Roman" w:hAnsi="Times New Roman" w:eastAsia="仿宋_GB2312" w:cs="Times New Roman"/>
          <w:bCs/>
          <w:color w:val="000000"/>
          <w:kern w:val="2"/>
          <w:sz w:val="32"/>
          <w:szCs w:val="32"/>
        </w:rPr>
        <w:t>质量管理基础工作，强化</w:t>
      </w:r>
      <w:r>
        <w:rPr>
          <w:rFonts w:hint="eastAsia" w:ascii="Times New Roman" w:hAnsi="Times New Roman" w:eastAsia="仿宋_GB2312" w:cs="Times New Roman"/>
          <w:bCs/>
          <w:color w:val="000000"/>
          <w:kern w:val="2"/>
          <w:sz w:val="32"/>
          <w:szCs w:val="32"/>
        </w:rPr>
        <w:t>工程</w:t>
      </w:r>
      <w:r>
        <w:rPr>
          <w:rFonts w:ascii="Times New Roman" w:hAnsi="Times New Roman" w:eastAsia="仿宋_GB2312" w:cs="Times New Roman"/>
          <w:bCs/>
          <w:color w:val="000000"/>
          <w:kern w:val="2"/>
          <w:sz w:val="32"/>
          <w:szCs w:val="32"/>
        </w:rPr>
        <w:t>标准化</w:t>
      </w:r>
      <w:r>
        <w:rPr>
          <w:rFonts w:hint="eastAsia" w:ascii="Times New Roman" w:hAnsi="Times New Roman" w:eastAsia="仿宋_GB2312" w:cs="Times New Roman"/>
          <w:bCs/>
          <w:color w:val="000000"/>
          <w:kern w:val="2"/>
          <w:sz w:val="32"/>
          <w:szCs w:val="32"/>
        </w:rPr>
        <w:t>管理</w:t>
      </w:r>
      <w:r>
        <w:rPr>
          <w:rFonts w:ascii="Times New Roman" w:hAnsi="Times New Roman" w:eastAsia="仿宋_GB2312" w:cs="Times New Roman"/>
          <w:bCs/>
          <w:color w:val="000000"/>
          <w:kern w:val="2"/>
          <w:sz w:val="32"/>
          <w:szCs w:val="32"/>
        </w:rPr>
        <w:t>，不断提升工程质量安全管理水平</w:t>
      </w:r>
      <w:r>
        <w:rPr>
          <w:rFonts w:hint="eastAsia" w:ascii="Times New Roman" w:hAnsi="Times New Roman" w:eastAsia="仿宋_GB2312" w:cs="Times New Roman"/>
          <w:bCs/>
          <w:color w:val="000000"/>
          <w:kern w:val="2"/>
          <w:sz w:val="32"/>
          <w:szCs w:val="32"/>
        </w:rPr>
        <w:t>，着力打造水利</w:t>
      </w:r>
      <w:r>
        <w:rPr>
          <w:rFonts w:ascii="Times New Roman" w:hAnsi="Times New Roman" w:eastAsia="仿宋_GB2312" w:cs="Times New Roman"/>
          <w:bCs/>
          <w:color w:val="000000"/>
          <w:kern w:val="2"/>
          <w:sz w:val="32"/>
          <w:szCs w:val="32"/>
        </w:rPr>
        <w:t>精品工程</w:t>
      </w:r>
      <w:r>
        <w:rPr>
          <w:rFonts w:hint="eastAsia" w:ascii="Times New Roman" w:hAnsi="Times New Roman" w:cs="Times New Roman"/>
          <w:bCs/>
          <w:color w:val="000000"/>
          <w:kern w:val="2"/>
          <w:sz w:val="32"/>
          <w:szCs w:val="32"/>
        </w:rPr>
        <w:t>，</w:t>
      </w:r>
      <w:r>
        <w:rPr>
          <w:rFonts w:hint="eastAsia" w:ascii="Times New Roman" w:hAnsi="Times New Roman" w:eastAsia="仿宋_GB2312" w:cs="Times New Roman"/>
          <w:bCs/>
          <w:color w:val="000000"/>
          <w:kern w:val="2"/>
          <w:sz w:val="32"/>
          <w:szCs w:val="32"/>
        </w:rPr>
        <w:t>建设幸福瓯江，力争将瓯江打造成为长江以南地区幸福河的样板和全国幸福河的先行示范区。</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32" w:name="_Toc79779442"/>
      <w:r>
        <w:rPr>
          <w:b w:val="0"/>
          <w:bCs w:val="0"/>
          <w:color w:val="000000" w:themeColor="text1"/>
          <w14:textFill>
            <w14:solidFill>
              <w14:schemeClr w14:val="tx1"/>
            </w14:solidFill>
          </w14:textFill>
        </w:rPr>
        <w:t>六、开拓</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丽水环境</w:t>
      </w:r>
      <w:r>
        <w:rPr>
          <w:rFonts w:hint="eastAsia"/>
          <w:b w:val="0"/>
          <w:bCs w:val="0"/>
          <w:color w:val="000000" w:themeColor="text1"/>
          <w14:textFill>
            <w14:solidFill>
              <w14:schemeClr w14:val="tx1"/>
            </w14:solidFill>
          </w14:textFill>
        </w:rPr>
        <w:t>”</w:t>
      </w:r>
      <w:r>
        <w:rPr>
          <w:b w:val="0"/>
          <w:bCs w:val="0"/>
          <w:color w:val="000000" w:themeColor="text1"/>
          <w14:textFill>
            <w14:solidFill>
              <w14:schemeClr w14:val="tx1"/>
            </w14:solidFill>
          </w14:textFill>
        </w:rPr>
        <w:t>高质量窗口</w:t>
      </w:r>
      <w:bookmarkEnd w:id="32"/>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3" w:name="_Toc79779443"/>
      <w:r>
        <w:rPr>
          <w:rFonts w:ascii="Times New Roman" w:hAnsi="Times New Roman" w:eastAsia="楷体_GB2312" w:cs="Times New Roman"/>
          <w:b w:val="0"/>
          <w:color w:val="000000" w:themeColor="text1"/>
          <w14:textFill>
            <w14:solidFill>
              <w14:schemeClr w14:val="tx1"/>
            </w14:solidFill>
          </w14:textFill>
        </w:rPr>
        <w:t>（一）建设大花园最美核心区</w:t>
      </w:r>
      <w:bookmarkEnd w:id="33"/>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保护山水林田湖草生命共同体。</w:t>
      </w:r>
      <w:r>
        <w:rPr>
          <w:rFonts w:hint="eastAsia" w:ascii="仿宋_GB2312" w:hAnsi="仿宋_GB2312" w:eastAsia="仿宋_GB2312" w:cs="仿宋_GB2312"/>
          <w:color w:val="000000" w:themeColor="text1"/>
          <w:sz w:val="32"/>
          <w:szCs w:val="32"/>
          <w14:textFill>
            <w14:solidFill>
              <w14:schemeClr w14:val="tx1"/>
            </w14:solidFill>
          </w14:textFill>
        </w:rPr>
        <w:t xml:space="preserve">推进水生态系统保护修复，创建瓯江流域山水林田湖草生态系统保护修复国家试点；提升森林生态系统质量，营造高质量的人居森林生态系统；实施“一村万木”工程，开展美丽林下改造；加快矿山与土地生态修复，着力修复矿山生态环境；加强地质灾害防治，加强生态敏感区和脆弱区保护；高质量推进乡村土地综合整治与生态修复工作；加强生物多样性保护力度，创建全国生物多样性保护引领区，实施珍稀濒危野生动植物拯救保护工程，加强百山祖冷杉、景宁木兰等珍稀濒危植物的就地保护、种群扩繁和野外回归工作。 </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580" w:lineRule="exact"/>
              <w:jc w:val="center"/>
              <w:textAlignment w:val="baseline"/>
              <w:rPr>
                <w:bCs/>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专栏6-1:保护山水林田湖草生命共同体重点任务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17"/>
              <w:spacing w:before="0" w:beforeAutospacing="0" w:after="0" w:afterAutospacing="0" w:line="400" w:lineRule="exact"/>
              <w:ind w:firstLine="482" w:firstLineChars="200"/>
              <w:textAlignment w:val="baseline"/>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推进水生态系统保护修复。</w:t>
            </w:r>
            <w:r>
              <w:rPr>
                <w:rFonts w:hint="eastAsia" w:ascii="仿宋_GB2312" w:hAnsi="仿宋_GB2312" w:eastAsia="仿宋_GB2312" w:cs="仿宋_GB2312"/>
                <w:color w:val="000000" w:themeColor="text1"/>
                <w:sz w:val="24"/>
                <w:szCs w:val="24"/>
                <w14:textFill>
                  <w14:solidFill>
                    <w14:schemeClr w14:val="tx1"/>
                  </w14:solidFill>
                </w14:textFill>
              </w:rPr>
              <w:t>加快推进宣平溪、松阴溪、松源溪、浮云溪、乌溪江等中小河流治理，开展水土流失治理，建设生态清洁型小流域。推进河湖连通及农村水系综合治理，完成景宁县河湖连通和农村水系综合整治先行试点县项目，建设松古平原水系综合治理工程，谋划碧湖平原水系综合治理工程。推进湖库系统治理，谋划实施滩坑、紧水滩、湖南镇、石塘等水库系统治理工程。高质量构建碧水映村、活水绕城、人水和谐、健康生态的幸福瓯江河湖网。</w:t>
            </w:r>
          </w:p>
          <w:p>
            <w:pPr>
              <w:pStyle w:val="17"/>
              <w:spacing w:before="0" w:beforeAutospacing="0" w:after="0" w:afterAutospacing="0" w:line="400" w:lineRule="exact"/>
              <w:ind w:firstLine="482" w:firstLineChars="200"/>
              <w:textAlignment w:val="baseline"/>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提升森林生态系统质量。</w:t>
            </w:r>
            <w:r>
              <w:rPr>
                <w:rFonts w:hint="eastAsia" w:ascii="仿宋_GB2312" w:hAnsi="仿宋_GB2312" w:eastAsia="仿宋_GB2312" w:cs="仿宋_GB2312"/>
                <w:color w:val="000000" w:themeColor="text1"/>
                <w:sz w:val="24"/>
                <w:szCs w:val="24"/>
                <w14:textFill>
                  <w14:solidFill>
                    <w14:schemeClr w14:val="tx1"/>
                  </w14:solidFill>
                </w14:textFill>
              </w:rPr>
              <w:t>实行最严格的林地管理制度，严格执行占用征收林地定额管理制度，落实封山育(护)林措施。实施美丽林相建设工程，加强松线虫病防治，加快开展珍贵乡土树种植物复兴工作。推进城市彩屏建设工程、百镇千村彩色森林建设工程，营造高质量的人居森林生态系统。</w:t>
            </w:r>
          </w:p>
          <w:p>
            <w:pPr>
              <w:pStyle w:val="17"/>
              <w:spacing w:before="0" w:beforeAutospacing="0" w:after="0" w:afterAutospacing="0" w:line="400" w:lineRule="exact"/>
              <w:ind w:firstLine="482" w:firstLineChars="200"/>
              <w:textAlignment w:val="baseline"/>
              <w:rPr>
                <w:rFonts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加快矿山与土地生态修复。</w:t>
            </w:r>
            <w:r>
              <w:rPr>
                <w:rFonts w:hint="eastAsia" w:ascii="仿宋_GB2312" w:hAnsi="仿宋_GB2312" w:eastAsia="仿宋_GB2312" w:cs="仿宋_GB2312"/>
                <w:color w:val="000000" w:themeColor="text1"/>
                <w:sz w:val="24"/>
                <w:szCs w:val="24"/>
                <w14:textFill>
                  <w14:solidFill>
                    <w14:schemeClr w14:val="tx1"/>
                  </w14:solidFill>
                </w14:textFill>
              </w:rPr>
              <w:t>开展绿色矿山建设，严格划定禁采区、限采区。严控矿山“三废”排放量，严格建设尾矿输送、贮存、尾矿水净化和回用等设施。高质量推进乡村全域土地综合整治与生态修复工作，统筹推进空间优化、村庄整治、耕地保护、生态修复、产业发展和乡村治理。</w:t>
            </w:r>
          </w:p>
          <w:p>
            <w:pPr>
              <w:pStyle w:val="17"/>
              <w:spacing w:before="0" w:beforeAutospacing="0" w:after="0" w:afterAutospacing="0" w:line="400" w:lineRule="exact"/>
              <w:ind w:firstLine="482"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加强生物多样性保护力度。</w:t>
            </w:r>
            <w:r>
              <w:rPr>
                <w:rFonts w:hint="eastAsia" w:ascii="仿宋_GB2312" w:hAnsi="仿宋_GB2312" w:eastAsia="仿宋_GB2312" w:cs="仿宋_GB2312"/>
                <w:color w:val="000000" w:themeColor="text1"/>
                <w:sz w:val="24"/>
                <w:szCs w:val="24"/>
                <w14:textFill>
                  <w14:solidFill>
                    <w14:schemeClr w14:val="tx1"/>
                  </w14:solidFill>
                </w14:textFill>
              </w:rPr>
              <w:t>全面开展生物物种资源本底调查和评估，完善生物多样性监测与预警体系，构建生物多样性监管信息平台，探索生物多样性可持续利用的模式，推动高质量绿色发展。</w:t>
            </w:r>
          </w:p>
        </w:tc>
      </w:tr>
    </w:tbl>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开展全域美丽生态提升行动</w:t>
      </w:r>
      <w:r>
        <w:rPr>
          <w:rFonts w:hint="eastAsia" w:ascii="仿宋_GB2312" w:hAnsi="仿宋_GB2312" w:eastAsia="仿宋_GB2312" w:cs="仿宋_GB2312"/>
          <w:color w:val="000000" w:themeColor="text1"/>
          <w:sz w:val="32"/>
          <w:szCs w:val="32"/>
          <w14:textFill>
            <w14:solidFill>
              <w14:schemeClr w14:val="tx1"/>
            </w14:solidFill>
          </w14:textFill>
        </w:rPr>
        <w:t>。高标准推进“蓝天、碧水、净土、清废”行动，构建“国家公园+美丽城市+美丽城镇+美丽乡村”联动创建制度，深入实施美丽河湖、美丽林相、美丽田园等建设行动，实现大花园示范县全覆盖，诗画浙江大花园最美核心区基本建成，高标准推进瓯江山水诗路文化带建设，绘就现代版“丽水山居图”。生产生活方式实现绿色转型，能源资源配置更加合理、利用效率大幅提高。</w:t>
      </w:r>
    </w:p>
    <w:p>
      <w:pPr>
        <w:pStyle w:val="17"/>
        <w:spacing w:before="0" w:beforeAutospacing="0" w:after="0" w:afterAutospacing="0"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构建科学高效智慧的生态环境治理体系。</w:t>
      </w:r>
      <w:r>
        <w:rPr>
          <w:rFonts w:hint="eastAsia" w:ascii="仿宋_GB2312" w:hAnsi="仿宋_GB2312" w:eastAsia="仿宋_GB2312" w:cs="仿宋_GB2312"/>
          <w:color w:val="000000" w:themeColor="text1"/>
          <w:sz w:val="32"/>
          <w:szCs w:val="32"/>
          <w14:textFill>
            <w14:solidFill>
              <w14:schemeClr w14:val="tx1"/>
            </w14:solidFill>
          </w14:textFill>
        </w:rPr>
        <w:t>建立科学的生态空间管控制度，实现智治闭环生态环境监管。加强国土空间规划和用途管控。落实生态保护、基本农田、城镇开发等空间管控边界，建立高标准生态保护体系。严格落实以“三线一单”为核心的生态环境分区管控体系，推进全流域、全区域联防联控和城乡协同治理。实施县域间产业集聚类重点管控单元差异化发展。建立生态环保立法和执法工作协同常态化机制，扎实推进生态环境保护综合行政执法，健全跨区域、跨流域污染防治协作机制。加强环境风险管理，构建完善全过程、多层级生态环境风险防范体系。打造生态环境智慧监管平台，实现污染源全生命周期监管，形成全流程、闭环式、智能化问题发现查处体系。深入推进“生态环境大学堂”，提升企业生态环境自我管理能力。</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4" w:name="_Toc79779444"/>
      <w:r>
        <w:rPr>
          <w:rFonts w:ascii="Times New Roman" w:hAnsi="Times New Roman" w:eastAsia="楷体_GB2312" w:cs="Times New Roman"/>
          <w:b w:val="0"/>
          <w:color w:val="000000" w:themeColor="text1"/>
          <w14:textFill>
            <w14:solidFill>
              <w14:schemeClr w14:val="tx1"/>
            </w14:solidFill>
          </w14:textFill>
        </w:rPr>
        <w:t>（二）建立生态环境标准体系</w:t>
      </w:r>
      <w:bookmarkEnd w:id="34"/>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完善</w:t>
      </w:r>
      <w:r>
        <w:rPr>
          <w:rFonts w:eastAsia="仿宋_GB2312"/>
          <w:b/>
          <w:bCs/>
          <w:color w:val="000000" w:themeColor="text1"/>
          <w:sz w:val="32"/>
          <w:szCs w:val="32"/>
          <w14:textFill>
            <w14:solidFill>
              <w14:schemeClr w14:val="tx1"/>
            </w14:solidFill>
          </w14:textFill>
        </w:rPr>
        <w:t>生态环境</w:t>
      </w:r>
      <w:r>
        <w:rPr>
          <w:rFonts w:hint="eastAsia" w:eastAsia="仿宋_GB2312"/>
          <w:b/>
          <w:bCs/>
          <w:color w:val="000000" w:themeColor="text1"/>
          <w:sz w:val="32"/>
          <w:szCs w:val="32"/>
          <w14:textFill>
            <w14:solidFill>
              <w14:schemeClr w14:val="tx1"/>
            </w14:solidFill>
          </w14:textFill>
        </w:rPr>
        <w:t>全链条</w:t>
      </w:r>
      <w:r>
        <w:rPr>
          <w:rFonts w:eastAsia="仿宋_GB2312"/>
          <w:b/>
          <w:bCs/>
          <w:color w:val="000000" w:themeColor="text1"/>
          <w:sz w:val="32"/>
          <w:szCs w:val="32"/>
          <w14:textFill>
            <w14:solidFill>
              <w14:schemeClr w14:val="tx1"/>
            </w14:solidFill>
          </w14:textFill>
        </w:rPr>
        <w:t>标准体系</w:t>
      </w:r>
      <w:r>
        <w:rPr>
          <w:rFonts w:hint="eastAsia" w:eastAsia="仿宋_GB2312"/>
          <w:b/>
          <w:bCs/>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深入践行绿水青山就是金山银山的绿色发展理念，构建涵盖</w:t>
      </w:r>
      <w:r>
        <w:rPr>
          <w:rFonts w:eastAsia="仿宋_GB2312"/>
          <w:bCs/>
          <w:color w:val="000000" w:themeColor="text1"/>
          <w:sz w:val="32"/>
          <w:szCs w:val="32"/>
          <w14:textFill>
            <w14:solidFill>
              <w14:schemeClr w14:val="tx1"/>
            </w14:solidFill>
          </w14:textFill>
        </w:rPr>
        <w:t>空间开发保护标准</w:t>
      </w:r>
      <w:r>
        <w:rPr>
          <w:rFonts w:hint="eastAsia" w:eastAsia="仿宋_GB2312"/>
          <w:bCs/>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生态环境保护与治理、生态环境质量、生态环境监测和节能减排准入等重点领域的生态环境标准体系。坚持问题导向、效益导向，强化底线意识、红线意识，推动实施更为严格的强制性标准，巩固提升更为先进的推荐性标准，鼓励发展先进团体标准，倒逼产业转型升级，引导行业自律，进一步改善生态环境质量，共商共建共享可持续发展标准体系，共建更加美好的</w:t>
      </w:r>
      <w:r>
        <w:rPr>
          <w:rFonts w:hint="eastAsia" w:eastAsia="仿宋_GB2312"/>
          <w:color w:val="000000" w:themeColor="text1"/>
          <w:sz w:val="32"/>
          <w:szCs w:val="32"/>
          <w:lang w:eastAsia="zh-CN"/>
          <w14:textFill>
            <w14:solidFill>
              <w14:schemeClr w14:val="tx1"/>
            </w14:solidFill>
          </w14:textFill>
        </w:rPr>
        <w:t>生态环境</w:t>
      </w:r>
      <w:r>
        <w:rPr>
          <w:rFonts w:eastAsia="仿宋_GB2312"/>
          <w:color w:val="000000" w:themeColor="text1"/>
          <w:sz w:val="32"/>
          <w:szCs w:val="32"/>
          <w14:textFill>
            <w14:solidFill>
              <w14:schemeClr w14:val="tx1"/>
            </w14:solidFill>
          </w14:textFill>
        </w:rPr>
        <w:t>。</w:t>
      </w:r>
    </w:p>
    <w:tbl>
      <w:tblPr>
        <w:tblStyle w:val="20"/>
        <w:tblW w:w="8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2" w:type="dxa"/>
            <w:vAlign w:val="center"/>
          </w:tcPr>
          <w:p>
            <w:pPr>
              <w:spacing w:line="400" w:lineRule="exact"/>
              <w:jc w:val="center"/>
              <w:textAlignment w:val="baseline"/>
              <w:rPr>
                <w:bCs/>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专栏6-2:生态环境标准体系重点领域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8472" w:type="dxa"/>
            <w:vAlign w:val="center"/>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空间开发保护：</w:t>
            </w:r>
            <w:r>
              <w:rPr>
                <w:rFonts w:hint="eastAsia" w:ascii="仿宋_GB2312" w:hAnsi="仿宋_GB2312" w:eastAsia="仿宋_GB2312" w:cs="仿宋_GB2312"/>
                <w:color w:val="000000" w:themeColor="text1"/>
                <w14:textFill>
                  <w14:solidFill>
                    <w14:schemeClr w14:val="tx1"/>
                  </w14:solidFill>
                </w14:textFill>
              </w:rPr>
              <w:t>资源环境承载力评价、主体功能差异化专项评价、国土空间开发适宜性评价、大花园建设空间数据对接、自然资源确权等标准。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生态环境保护与治理：</w:t>
            </w:r>
            <w:r>
              <w:rPr>
                <w:rFonts w:hint="eastAsia" w:ascii="仿宋_GB2312" w:hAnsi="仿宋_GB2312" w:eastAsia="仿宋_GB2312" w:cs="仿宋_GB2312"/>
                <w:color w:val="000000" w:themeColor="text1"/>
                <w14:textFill>
                  <w14:solidFill>
                    <w14:schemeClr w14:val="tx1"/>
                  </w14:solidFill>
                </w14:textFill>
              </w:rPr>
              <w:t>生态补偿、生态环境损害评估、自然保护地、河道建设、公益林、防护林火灾防控、有害生物防治、绿色矿山、珍稀濒危动植物保护</w:t>
            </w:r>
            <w:r>
              <w:rPr>
                <w:rFonts w:hint="eastAsia" w:ascii="仿宋_GB2312" w:hAnsi="仿宋_GB2312" w:eastAsia="仿宋_GB2312" w:cs="仿宋_GB2312"/>
                <w:b/>
                <w:color w:val="000000" w:themeColor="text1"/>
                <w14:textFill>
                  <w14:solidFill>
                    <w14:schemeClr w14:val="tx1"/>
                  </w14:solidFill>
                </w14:textFill>
              </w:rPr>
              <w:t>、</w:t>
            </w:r>
            <w:r>
              <w:rPr>
                <w:rFonts w:hint="eastAsia" w:ascii="仿宋_GB2312" w:hAnsi="仿宋_GB2312" w:eastAsia="仿宋_GB2312" w:cs="仿宋_GB2312"/>
                <w:bCs/>
                <w:color w:val="000000" w:themeColor="text1"/>
                <w14:textFill>
                  <w14:solidFill>
                    <w14:schemeClr w14:val="tx1"/>
                  </w14:solidFill>
                </w14:textFill>
              </w:rPr>
              <w:t>“花园云”大数据云端监管平台建设管理</w:t>
            </w:r>
            <w:r>
              <w:rPr>
                <w:rFonts w:hint="eastAsia" w:ascii="仿宋_GB2312" w:hAnsi="仿宋_GB2312" w:eastAsia="仿宋_GB2312" w:cs="仿宋_GB2312"/>
                <w:color w:val="000000" w:themeColor="text1"/>
                <w14:textFill>
                  <w14:solidFill>
                    <w14:schemeClr w14:val="tx1"/>
                  </w14:solidFill>
                </w14:textFill>
              </w:rPr>
              <w:t>等标准。</w:t>
            </w:r>
          </w:p>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color w:val="000000" w:themeColor="text1"/>
                <w14:textFill>
                  <w14:solidFill>
                    <w14:schemeClr w14:val="tx1"/>
                  </w14:solidFill>
                </w14:textFill>
              </w:rPr>
              <w:t>节能减排准入：</w:t>
            </w:r>
            <w:r>
              <w:rPr>
                <w:rFonts w:hint="eastAsia" w:ascii="仿宋_GB2312" w:hAnsi="仿宋_GB2312" w:eastAsia="仿宋_GB2312" w:cs="仿宋_GB2312"/>
                <w:color w:val="000000" w:themeColor="text1"/>
                <w14:textFill>
                  <w14:solidFill>
                    <w14:schemeClr w14:val="tx1"/>
                  </w14:solidFill>
                </w14:textFill>
              </w:rPr>
              <w:t>不锈钢、阀门、铸造、金属冶炼及压延加工、合成革、建材等高能耗高污染行业能耗限额标准；工业节能节地节水、园区循环化改造、行业准入条件等标准。</w:t>
            </w:r>
          </w:p>
        </w:tc>
      </w:tr>
    </w:tbl>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建立国家公园标准体系。</w:t>
      </w:r>
      <w:r>
        <w:rPr>
          <w:rFonts w:eastAsia="仿宋_GB2312"/>
          <w:color w:val="000000" w:themeColor="text1"/>
          <w:sz w:val="32"/>
          <w:szCs w:val="32"/>
          <w14:textFill>
            <w14:solidFill>
              <w14:schemeClr w14:val="tx1"/>
            </w14:solidFill>
          </w14:textFill>
        </w:rPr>
        <w:t>按照丽水创建国家公园目标要求，围绕国家公园</w:t>
      </w:r>
      <w:r>
        <w:rPr>
          <w:rFonts w:eastAsia="仿宋_GB2312"/>
          <w:color w:val="000000" w:themeColor="text1"/>
          <w:sz w:val="32"/>
          <w:szCs w:val="32"/>
          <w:lang w:bidi="ar"/>
          <w14:textFill>
            <w14:solidFill>
              <w14:schemeClr w14:val="tx1"/>
            </w14:solidFill>
          </w14:textFill>
        </w:rPr>
        <w:t>基础通用、保护管理、科研监测、生态修复、园区发展</w:t>
      </w:r>
      <w:r>
        <w:rPr>
          <w:rFonts w:eastAsia="仿宋_GB2312"/>
          <w:color w:val="000000" w:themeColor="text1"/>
          <w:sz w:val="32"/>
          <w:szCs w:val="32"/>
          <w14:textFill>
            <w14:solidFill>
              <w14:schemeClr w14:val="tx1"/>
            </w14:solidFill>
          </w14:textFill>
        </w:rPr>
        <w:t>等</w:t>
      </w:r>
      <w:r>
        <w:rPr>
          <w:rFonts w:hint="eastAsia" w:eastAsia="仿宋_GB2312"/>
          <w:color w:val="000000" w:themeColor="text1"/>
          <w:sz w:val="32"/>
          <w:szCs w:val="32"/>
          <w14:textFill>
            <w14:solidFill>
              <w14:schemeClr w14:val="tx1"/>
            </w14:solidFill>
          </w14:textFill>
        </w:rPr>
        <w:t>领域标准建设需求</w:t>
      </w:r>
      <w:r>
        <w:rPr>
          <w:rFonts w:eastAsia="仿宋_GB2312"/>
          <w:color w:val="000000" w:themeColor="text1"/>
          <w:sz w:val="32"/>
          <w:szCs w:val="32"/>
          <w14:textFill>
            <w14:solidFill>
              <w14:schemeClr w14:val="tx1"/>
            </w14:solidFill>
          </w14:textFill>
        </w:rPr>
        <w:t>，开展国家公园标准体系构建，制定并实施国家公园公共安全、国家公园规划管理、国家公园自然资源管理、国家公园文化资源保护管理、国家公园监测评估、国家公园科学研究等标准，为全国国家公园建设提供“丽水模式”。</w:t>
      </w:r>
    </w:p>
    <w:p>
      <w:pPr>
        <w:pStyle w:val="16"/>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建成大花园最美核心区标准体系。</w:t>
      </w:r>
      <w:r>
        <w:rPr>
          <w:rFonts w:eastAsia="仿宋_GB2312"/>
          <w:color w:val="000000" w:themeColor="text1"/>
          <w:sz w:val="32"/>
          <w:szCs w:val="32"/>
          <w14:textFill>
            <w14:solidFill>
              <w14:schemeClr w14:val="tx1"/>
            </w14:solidFill>
          </w14:textFill>
        </w:rPr>
        <w:t>深化大花园建设标准管控体系研究，推动标准化与大花园建设深度融合。</w:t>
      </w:r>
      <w:r>
        <w:rPr>
          <w:rFonts w:hint="eastAsia" w:eastAsia="仿宋_GB2312"/>
          <w:color w:val="000000" w:themeColor="text1"/>
          <w:sz w:val="32"/>
          <w:szCs w:val="32"/>
          <w14:textFill>
            <w14:solidFill>
              <w14:schemeClr w14:val="tx1"/>
            </w14:solidFill>
          </w14:textFill>
        </w:rPr>
        <w:t>重点制定美丽城市、美丽城镇、美丽乡村标准体系，实</w:t>
      </w:r>
      <w:r>
        <w:rPr>
          <w:rFonts w:eastAsia="仿宋_GB2312"/>
          <w:color w:val="000000" w:themeColor="text1"/>
          <w:sz w:val="32"/>
          <w:szCs w:val="32"/>
          <w14:textFill>
            <w14:solidFill>
              <w14:schemeClr w14:val="tx1"/>
            </w14:solidFill>
          </w14:textFill>
        </w:rPr>
        <w:t>现大花园示范县全覆盖。深入推进“人人成园丁、处处成花园”行动，进一步营造全民共建共享大花园的良好氛围。</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16"/>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专栏6-3:大花园最美核心区标准体系重点领域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pStyle w:val="16"/>
              <w:spacing w:line="400" w:lineRule="exact"/>
              <w:ind w:firstLine="482" w:firstLineChars="200"/>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美丽城市：</w:t>
            </w:r>
            <w:r>
              <w:rPr>
                <w:rFonts w:hint="eastAsia" w:ascii="仿宋_GB2312" w:hAnsi="仿宋_GB2312" w:eastAsia="仿宋_GB2312" w:cs="仿宋_GB2312"/>
                <w:color w:val="000000" w:themeColor="text1"/>
                <w14:textFill>
                  <w14:solidFill>
                    <w14:schemeClr w14:val="tx1"/>
                  </w14:solidFill>
                </w14:textFill>
              </w:rPr>
              <w:t>园林城市、生态城市、城市基础设施、城市人居环境、城市交通、城市规划、城市管理。</w:t>
            </w:r>
          </w:p>
          <w:p>
            <w:pPr>
              <w:pStyle w:val="16"/>
              <w:spacing w:line="400" w:lineRule="exact"/>
              <w:ind w:firstLine="482" w:firstLineChars="200"/>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美丽城镇：</w:t>
            </w:r>
            <w:r>
              <w:rPr>
                <w:rFonts w:hint="eastAsia" w:ascii="仿宋_GB2312" w:hAnsi="仿宋_GB2312" w:eastAsia="仿宋_GB2312" w:cs="仿宋_GB2312"/>
                <w:color w:val="000000" w:themeColor="text1"/>
                <w14:textFill>
                  <w14:solidFill>
                    <w14:schemeClr w14:val="tx1"/>
                  </w14:solidFill>
                </w14:textFill>
              </w:rPr>
              <w:t>美丽城镇创建工作导则、美丽城镇验收规范、美丽载体建设和管理规范、海绵城镇建设规范、智慧城镇、安全城镇、县域医共体、美丽城镇生活圈。</w:t>
            </w:r>
          </w:p>
          <w:p>
            <w:pPr>
              <w:pStyle w:val="16"/>
              <w:spacing w:line="400" w:lineRule="exact"/>
              <w:ind w:firstLine="482" w:firstLineChars="200"/>
              <w:textAlignment w:val="baseline"/>
              <w:rPr>
                <w:rFonts w:eastAsia="仿宋_GB2312" w:cs="Times New Roman"/>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美丽乡村：</w:t>
            </w:r>
            <w:r>
              <w:rPr>
                <w:rFonts w:hint="eastAsia" w:ascii="仿宋_GB2312" w:hAnsi="仿宋_GB2312" w:eastAsia="仿宋_GB2312" w:cs="仿宋_GB2312"/>
                <w:color w:val="000000" w:themeColor="text1"/>
                <w:kern w:val="2"/>
                <w14:textFill>
                  <w14:solidFill>
                    <w14:schemeClr w14:val="tx1"/>
                  </w14:solidFill>
                </w14:textFill>
              </w:rPr>
              <w:t>民族特色乡村建设、花园乡村建设、农村垃圾分类、厕所、生活污水、无蚊村建设、孝慈文化建设、“乡村春晚”“乡村节会”“丽水山居”“拯救老屋”、古街古村古镇保护利用管理。</w:t>
            </w:r>
          </w:p>
        </w:tc>
      </w:tr>
    </w:tbl>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5" w:name="_Toc79779445"/>
      <w:r>
        <w:rPr>
          <w:rFonts w:ascii="Times New Roman" w:hAnsi="Times New Roman" w:eastAsia="楷体_GB2312" w:cs="Times New Roman"/>
          <w:b w:val="0"/>
          <w:color w:val="000000" w:themeColor="text1"/>
          <w14:textFill>
            <w14:solidFill>
              <w14:schemeClr w14:val="tx1"/>
            </w14:solidFill>
          </w14:textFill>
        </w:rPr>
        <w:t>（三）打造绿色发展丽水样板</w:t>
      </w:r>
      <w:bookmarkEnd w:id="35"/>
    </w:p>
    <w:p>
      <w:pPr>
        <w:spacing w:line="580" w:lineRule="exact"/>
        <w:ind w:firstLine="643" w:firstLineChars="200"/>
        <w:textAlignment w:val="baseline"/>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建成生态产品价值实现机制示范区。</w:t>
      </w:r>
      <w:r>
        <w:rPr>
          <w:rFonts w:hint="eastAsia" w:ascii="仿宋_GB2312" w:hAnsi="仿宋_GB2312" w:eastAsia="仿宋_GB2312" w:cs="仿宋_GB2312"/>
          <w:color w:val="000000" w:themeColor="text1"/>
          <w:sz w:val="32"/>
          <w:szCs w:val="32"/>
          <w14:textFill>
            <w14:solidFill>
              <w14:schemeClr w14:val="tx1"/>
            </w14:solidFill>
          </w14:textFill>
        </w:rPr>
        <w:t>健全GEP核算、应用、综合考评制度和标准体系。不断优化和迭代升级生态产品价值核算地方标准，主动参与国家生态产品价值核算标准制定，全域开展GEP核算评估。强化GEP进规划、进决策、进项目、进交易、进监测、进考核“六进”应用机制。建设国家级生态资产和生态产品交易中心，完善产权、交易、监管、资金、价格、认证、权益、兑换机制，大力推进生态资产、生态产品交易。健全政府购买生态产品制度，深化生态产品价值实现机制改革，系统集成试点做法，形成一批示范引领全国的理论创新成果、机制创新成果和实践创新成果。强化智库合作，把两山学院打造成为国家级高端智库。举办生态产品价值实现机制高端论坛，打造绿色发展国际合作交流平台。</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专栏6-4:建设生态产品价值实现机制示范区重点任务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2" w:firstLineChars="200"/>
              <w:textAlignment w:val="baseline"/>
              <w:rPr>
                <w:rFonts w:ascii="仿宋_GB2312" w:hAnsi="仿宋_GB2312" w:eastAsia="仿宋_GB2312" w:cs="仿宋_GB2312"/>
                <w:color w:val="000000" w:themeColor="text1"/>
                <w:sz w:val="2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培育壮大生态产品价值实现市场主体</w:t>
            </w:r>
            <w:r>
              <w:rPr>
                <w:rFonts w:hint="eastAsia" w:ascii="仿宋_GB2312" w:hAnsi="仿宋_GB2312" w:eastAsia="仿宋_GB2312" w:cs="仿宋_GB2312"/>
                <w:color w:val="000000" w:themeColor="text1"/>
                <w14:textFill>
                  <w14:solidFill>
                    <w14:schemeClr w14:val="tx1"/>
                  </w14:solidFill>
                </w14:textFill>
              </w:rPr>
              <w:t>。强化“两山公司”作为生态产品供给主体、交易主体的功能定位，完善公司经营制度、收益分配机制，打造生态资源资产化、资产资本化实施主体。深化“两山银行”运营机制，强化对分散、零碎的生态资源进行集中收储、管理，健全价值评估和交易机制，打造示范全国的生态资源资产开发经营的服务平台和市场交易平台。</w:t>
            </w:r>
          </w:p>
          <w:p>
            <w:pPr>
              <w:spacing w:line="400" w:lineRule="exact"/>
              <w:ind w:firstLine="482"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拓展产业化实现路径。</w:t>
            </w:r>
            <w:r>
              <w:rPr>
                <w:rFonts w:hint="eastAsia" w:ascii="仿宋_GB2312" w:hAnsi="仿宋_GB2312" w:eastAsia="仿宋_GB2312" w:cs="仿宋_GB2312"/>
                <w:color w:val="000000" w:themeColor="text1"/>
                <w14:textFill>
                  <w14:solidFill>
                    <w14:schemeClr w14:val="tx1"/>
                  </w14:solidFill>
                </w14:textFill>
              </w:rPr>
              <w:t xml:space="preserve">创建生态产品价值实现创新平台，建立支持生态产品价值实现的产业化政策体系，引导和支持市场主体广泛参与发展生态产品利用型、生态产品赋能型、生态产品影响型产业。合作探索生态产品价值异地转化模式。深化绿色金融改革，全域推广“两山贷”“生态抵（质）押贷”，支持绿色技术创新，加强生态产品价值产业化实现的支持力度。 </w:t>
            </w:r>
          </w:p>
        </w:tc>
      </w:tr>
    </w:tbl>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高水平建成大花园最美核心区。</w:t>
      </w:r>
      <w:r>
        <w:rPr>
          <w:rFonts w:hint="eastAsia" w:ascii="仿宋_GB2312" w:hAnsi="仿宋_GB2312" w:eastAsia="仿宋_GB2312" w:cs="仿宋_GB2312"/>
          <w:color w:val="000000" w:themeColor="text1"/>
          <w:sz w:val="32"/>
          <w:szCs w:val="32"/>
          <w14:textFill>
            <w14:solidFill>
              <w14:schemeClr w14:val="tx1"/>
            </w14:solidFill>
          </w14:textFill>
        </w:rPr>
        <w:t>以世界眼光、国际标准的高点定位，系统实施大花园核心区“1+3+N”工程，提升美丽生态，塑造美丽形态，培育美丽业态，构建“国家公园+美丽城市+美丽城镇+美丽乡村”的大花园空间结构。</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302" w:type="dxa"/>
            <w:vAlign w:val="top"/>
          </w:tcPr>
          <w:p>
            <w:pPr>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专栏6-5:建设大花园最美核心区重点任务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6" w:hRule="atLeast"/>
        </w:trPr>
        <w:tc>
          <w:tcPr>
            <w:tcW w:w="8302" w:type="dxa"/>
            <w:vAlign w:val="top"/>
          </w:tcPr>
          <w:p>
            <w:pPr>
              <w:spacing w:line="400" w:lineRule="exact"/>
              <w:ind w:firstLine="480"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深入实施美丽河湖、美丽林相、美丽田园等建设行动，以古城名镇名村、高等级景区、遗址公园、人文水脉、森林古道等为重点，打造一批大花园“耀眼明珠”，串珠成链建设一批“多彩廊道”，全域实施“增花添彩”工程，开展植树造林、森林彩化、花海建设，提高珍贵名木、花卉彩叶等植物覆盖率，构筑“点、线、面”相结合的大花园景观系统。加快推进九大旗帜性工程建设，创成丽水国家气象公园试点。</w:t>
            </w:r>
          </w:p>
        </w:tc>
      </w:tr>
    </w:tbl>
    <w:p>
      <w:pPr>
        <w:ind w:firstLine="643" w:firstLineChars="200"/>
        <w:textAlignment w:val="baseline"/>
        <w:rPr>
          <w:rFonts w:eastAsia="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高标准创成国家公园。</w:t>
      </w:r>
      <w:r>
        <w:rPr>
          <w:rFonts w:hint="eastAsia" w:eastAsia="仿宋_GB2312"/>
          <w:color w:val="000000" w:themeColor="text1"/>
          <w:sz w:val="32"/>
          <w:szCs w:val="32"/>
          <w14:textFill>
            <w14:solidFill>
              <w14:schemeClr w14:val="tx1"/>
            </w14:solidFill>
          </w14:textFill>
        </w:rPr>
        <w:t>国家公园是展现国家对自然和生态责任的重要窗口，以彰显国家形象的责任感和保护好绿水青山的使命担当，做好国家公园品牌建设和运营，集聚旅游流量，释放生态红利，助力区域绿色发展和人民群众的美好生活，将百山祖国家公园建成高水平生态文明建设的旗帜性典型产品。</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专栏6-6:高标准创成国家公园重点任务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0"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构建以百山祖国家公园为主体的自然保护地体系。充分发挥国家公园品牌带动作用，探索国家公园特许经营、公司化运营等体制机制，建立品牌质量标准体系和授权体系，构建三层级全域联动发展格局。打造国家公园周边特色村落，建设科普教育、天文观测、自然体验等八大基地，开发森林康养、气候养生、有机食品等产品，建设国家公园观光体验环线和文创大走廊，推动美丽生态向美丽经济转变。</w:t>
            </w:r>
          </w:p>
        </w:tc>
      </w:tr>
    </w:tbl>
    <w:p>
      <w:pPr>
        <w:spacing w:line="580" w:lineRule="exact"/>
        <w:ind w:firstLine="643" w:firstLineChars="200"/>
        <w:textAlignment w:val="baseline"/>
        <w:rPr>
          <w:rFonts w:eastAsia="仿宋_GB2312"/>
          <w:color w:val="000000" w:themeColor="text1"/>
          <w:sz w:val="31"/>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争创中国碳中和示范区。</w:t>
      </w:r>
      <w:r>
        <w:rPr>
          <w:rFonts w:hint="eastAsia" w:ascii="仿宋_GB2312" w:hAnsi="仿宋_GB2312" w:eastAsia="仿宋_GB2312" w:cs="仿宋_GB2312"/>
          <w:color w:val="000000" w:themeColor="text1"/>
          <w:sz w:val="32"/>
          <w:szCs w:val="32"/>
          <w14:textFill>
            <w14:solidFill>
              <w14:schemeClr w14:val="tx1"/>
            </w14:solidFill>
          </w14:textFill>
        </w:rPr>
        <w:t>以创建全国首批、全省首个碳中和城市为目标，推动实现全领域、全口径“碳中和”。大力发展节能环保、清洁能源等绿色产业，推行绿色制造，创建低碳工业园区、绿色工厂，建设一批国家级、省级绿色产业示范基地，实施绿色产品认证体系。积极融入全国碳交易市场，争取</w:t>
      </w:r>
      <w:r>
        <w:rPr>
          <w:rFonts w:hint="eastAsia" w:ascii="仿宋_GB2312" w:hAnsi="仿宋_GB2312" w:eastAsia="仿宋_GB2312" w:cs="仿宋_GB2312"/>
          <w:sz w:val="32"/>
          <w:szCs w:val="32"/>
        </w:rPr>
        <w:t>开展碳汇生态产品价值实现机制省级试点，参与全省碳汇核证与市场交易标准制定，谋划推动华东林业产权交易所成为省级林业碳汇交易平台</w:t>
      </w:r>
      <w:r>
        <w:rPr>
          <w:rFonts w:hint="eastAsia" w:ascii="仿宋_GB2312" w:hAnsi="仿宋_GB2312" w:eastAsia="仿宋_GB2312" w:cs="仿宋_GB2312"/>
          <w:color w:val="000000" w:themeColor="text1"/>
          <w:sz w:val="32"/>
          <w:szCs w:val="32"/>
          <w14:textFill>
            <w14:solidFill>
              <w14:schemeClr w14:val="tx1"/>
            </w14:solidFill>
          </w14:textFill>
        </w:rPr>
        <w:t>，探索建立多元化气候投融资机制。</w:t>
      </w:r>
    </w:p>
    <w:tbl>
      <w:tblPr>
        <w:tblStyle w:val="20"/>
        <w:tblW w:w="8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302" w:type="dxa"/>
          </w:tcPr>
          <w:p>
            <w:pPr>
              <w:spacing w:line="580" w:lineRule="exact"/>
              <w:jc w:val="center"/>
              <w:textAlignment w:val="baseline"/>
              <w:rPr>
                <w:color w:val="000000" w:themeColor="text1"/>
                <w:sz w:val="30"/>
                <w:szCs w:val="30"/>
                <w14:textFill>
                  <w14:solidFill>
                    <w14:schemeClr w14:val="tx1"/>
                  </w14:solidFill>
                </w14:textFill>
              </w:rPr>
            </w:pPr>
            <w:r>
              <w:rPr>
                <w:rFonts w:hint="eastAsia" w:ascii="楷体_GB2312" w:hAnsi="楷体_GB2312" w:eastAsia="楷体_GB2312" w:cs="楷体_GB2312"/>
                <w:b/>
                <w:color w:val="000000" w:themeColor="text1"/>
                <w14:textFill>
                  <w14:solidFill>
                    <w14:schemeClr w14:val="tx1"/>
                  </w14:solidFill>
                </w14:textFill>
              </w:rPr>
              <w:t>专栏6-7:争创中国碳中和先行区重点任务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pPr>
              <w:spacing w:line="400" w:lineRule="exact"/>
              <w:ind w:firstLine="480" w:firstLineChars="200"/>
              <w:textAlignment w:val="baseline"/>
              <w:rPr>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推进循环经济“991”行动计划升级版，构建资源循环利用体系。推动龙泉、庆元、景宁等县（市）打造“零碳”县域，乡镇及以上“零碳”机关建设比例达到全省前列。开发林业碳汇、绿色光伏等城乡自愿碳减排项目，加快建立一批碳汇基地。深入实施节水行动，健全用水总量、强度控制指标体系，全面推进节水型社会建设。引导绿色消费，推行“光盘行动”，推行绿色包装。提高绿色建筑在新建建筑中的比重。完善绿色低碳交通体系，推广新能源和清洁能源汽车。</w:t>
            </w:r>
          </w:p>
        </w:tc>
      </w:tr>
    </w:tbl>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36" w:name="_Toc79779446"/>
      <w:r>
        <w:rPr>
          <w:b w:val="0"/>
          <w:bCs w:val="0"/>
          <w:color w:val="000000" w:themeColor="text1"/>
          <w14:textFill>
            <w14:solidFill>
              <w14:schemeClr w14:val="tx1"/>
            </w14:solidFill>
          </w14:textFill>
        </w:rPr>
        <w:t>七、夯实质量技术基础</w:t>
      </w:r>
      <w:bookmarkEnd w:id="36"/>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优化质量基础设施布局。突出重点地区、领域，加快市级技术机构跨越发展</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打造“质量基础”一站式服务平台</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加快构建全产业链整体技术服务能力，</w:t>
      </w:r>
      <w:r>
        <w:rPr>
          <w:rFonts w:hint="eastAsia" w:eastAsia="仿宋_GB2312"/>
          <w:color w:val="000000" w:themeColor="text1"/>
          <w:sz w:val="32"/>
          <w:szCs w:val="32"/>
          <w14:textFill>
            <w14:solidFill>
              <w14:schemeClr w14:val="tx1"/>
            </w14:solidFill>
          </w14:textFill>
        </w:rPr>
        <w:t>统筹</w:t>
      </w:r>
      <w:r>
        <w:rPr>
          <w:rFonts w:eastAsia="仿宋_GB2312"/>
          <w:color w:val="000000" w:themeColor="text1"/>
          <w:sz w:val="32"/>
          <w:szCs w:val="32"/>
          <w14:textFill>
            <w14:solidFill>
              <w14:schemeClr w14:val="tx1"/>
            </w14:solidFill>
          </w14:textFill>
        </w:rPr>
        <w:t>产业布局、资源开发、设施建设、交通衔接，</w:t>
      </w:r>
      <w:r>
        <w:rPr>
          <w:rFonts w:hint="eastAsia" w:eastAsia="仿宋_GB2312"/>
          <w:color w:val="000000" w:themeColor="text1"/>
          <w:sz w:val="32"/>
          <w:szCs w:val="32"/>
          <w14:textFill>
            <w14:solidFill>
              <w14:schemeClr w14:val="tx1"/>
            </w14:solidFill>
          </w14:textFill>
        </w:rPr>
        <w:t>促进</w:t>
      </w:r>
      <w:r>
        <w:rPr>
          <w:rFonts w:eastAsia="仿宋_GB2312"/>
          <w:color w:val="000000" w:themeColor="text1"/>
          <w:sz w:val="32"/>
          <w:szCs w:val="32"/>
          <w14:textFill>
            <w14:solidFill>
              <w14:schemeClr w14:val="tx1"/>
            </w14:solidFill>
          </w14:textFill>
        </w:rPr>
        <w:t>区域要素资源优化配置和生产力集聚发展，形成新的发展优势。</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7" w:name="_Toc79779447"/>
      <w:r>
        <w:rPr>
          <w:rFonts w:ascii="Times New Roman" w:hAnsi="Times New Roman" w:eastAsia="楷体_GB2312" w:cs="Times New Roman"/>
          <w:b w:val="0"/>
          <w:color w:val="000000" w:themeColor="text1"/>
          <w14:textFill>
            <w14:solidFill>
              <w14:schemeClr w14:val="tx1"/>
            </w14:solidFill>
          </w14:textFill>
        </w:rPr>
        <w:t>（一）夯实标准化基础</w:t>
      </w:r>
      <w:bookmarkEnd w:id="37"/>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eastAsia="仿宋_GB2312"/>
          <w:b/>
          <w:bCs/>
          <w:color w:val="000000" w:themeColor="text1"/>
          <w:sz w:val="32"/>
          <w:szCs w:val="32"/>
          <w14:textFill>
            <w14:solidFill>
              <w14:schemeClr w14:val="tx1"/>
            </w14:solidFill>
          </w14:textFill>
        </w:rPr>
        <w:t>加强标准化服务能力建设。</w:t>
      </w:r>
      <w:r>
        <w:rPr>
          <w:rFonts w:eastAsia="仿宋_GB2312"/>
          <w:color w:val="000000" w:themeColor="text1"/>
          <w:sz w:val="32"/>
          <w:szCs w:val="32"/>
          <w14:textFill>
            <w14:solidFill>
              <w14:schemeClr w14:val="tx1"/>
            </w14:solidFill>
          </w14:textFill>
        </w:rPr>
        <w:t>引入或筹建特色领域国家或省级标准化专业技术委员会</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加快培育一批以提供标准化服务为核心业务的专业咨询机构、事务所，引入和培养一批标准化专家，提升标准化技术机构和组织的研究和服务能力。围绕重点产业标准化实际需求，</w:t>
      </w:r>
      <w:r>
        <w:rPr>
          <w:rFonts w:hint="eastAsia" w:eastAsia="仿宋_GB2312"/>
          <w:color w:val="000000" w:themeColor="text1"/>
          <w:sz w:val="32"/>
          <w:szCs w:val="32"/>
          <w14:textFill>
            <w14:solidFill>
              <w14:schemeClr w14:val="tx1"/>
            </w14:solidFill>
          </w14:textFill>
        </w:rPr>
        <w:t>开办</w:t>
      </w:r>
      <w:r>
        <w:rPr>
          <w:rFonts w:eastAsia="仿宋_GB2312"/>
          <w:color w:val="000000" w:themeColor="text1"/>
          <w:sz w:val="32"/>
          <w:szCs w:val="32"/>
          <w14:textFill>
            <w14:solidFill>
              <w14:schemeClr w14:val="tx1"/>
            </w14:solidFill>
          </w14:textFill>
        </w:rPr>
        <w:t>具有行业特色的标准化专业知识培训课程，提升标准化服务市场有效供给。加强标准化服务机构和人员信用建设，推动利益相关方、第三方机构等开展独立的标准化服务评价。</w:t>
      </w:r>
    </w:p>
    <w:p>
      <w:pPr>
        <w:spacing w:line="580" w:lineRule="exact"/>
        <w:ind w:firstLine="643" w:firstLineChars="200"/>
        <w:textAlignment w:val="baseline"/>
        <w:rPr>
          <w:rFonts w:eastAsia="仿宋_GB2312"/>
          <w:color w:val="000000" w:themeColor="text1"/>
          <w:sz w:val="32"/>
          <w:szCs w:val="32"/>
          <w14:textFill>
            <w14:solidFill>
              <w14:schemeClr w14:val="tx1"/>
            </w14:solidFill>
          </w14:textFill>
        </w:rPr>
      </w:pPr>
      <w:r>
        <w:rPr>
          <w:rFonts w:hint="eastAsia" w:eastAsia="仿宋_GB2312"/>
          <w:b/>
          <w:bCs/>
          <w:color w:val="000000" w:themeColor="text1"/>
          <w:sz w:val="32"/>
          <w:szCs w:val="32"/>
          <w14:textFill>
            <w14:solidFill>
              <w14:schemeClr w14:val="tx1"/>
            </w14:solidFill>
          </w14:textFill>
        </w:rPr>
        <w:t>加强</w:t>
      </w:r>
      <w:r>
        <w:rPr>
          <w:rFonts w:eastAsia="仿宋_GB2312"/>
          <w:b/>
          <w:bCs/>
          <w:color w:val="000000" w:themeColor="text1"/>
          <w:sz w:val="32"/>
          <w:szCs w:val="32"/>
          <w14:textFill>
            <w14:solidFill>
              <w14:schemeClr w14:val="tx1"/>
            </w14:solidFill>
          </w14:textFill>
        </w:rPr>
        <w:t>标准化信息系统建设。</w:t>
      </w:r>
      <w:r>
        <w:rPr>
          <w:rFonts w:eastAsia="仿宋_GB2312"/>
          <w:color w:val="000000" w:themeColor="text1"/>
          <w:sz w:val="32"/>
          <w:szCs w:val="32"/>
          <w14:textFill>
            <w14:solidFill>
              <w14:schemeClr w14:val="tx1"/>
            </w14:solidFill>
          </w14:textFill>
        </w:rPr>
        <w:t>建设丽水市标准化信息服务平台，包括标准动态发布、标准文献查询、标准制修订和标准咨询等服务，以标准助力高质量发展。按丽水经济社会特色建设馆藏，推动与国际标准组织、国外先进标准组织机构的标准信息资源交换与合作。推进跨层级、跨系统、跨部门的协同管理和服务。</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8" w:name="_Toc79779448"/>
      <w:r>
        <w:rPr>
          <w:rFonts w:hint="eastAsia" w:ascii="Times New Roman" w:hAnsi="Times New Roman" w:eastAsia="楷体_GB2312" w:cs="Times New Roman"/>
          <w:b w:val="0"/>
          <w:color w:val="000000" w:themeColor="text1"/>
          <w14:textFill>
            <w14:solidFill>
              <w14:schemeClr w14:val="tx1"/>
            </w14:solidFill>
          </w14:textFill>
        </w:rPr>
        <w:t>（二）建设先进计量体系</w:t>
      </w:r>
      <w:bookmarkEnd w:id="38"/>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加强计量基础设施建设。</w:t>
      </w:r>
      <w:r>
        <w:rPr>
          <w:rFonts w:hint="eastAsia" w:ascii="仿宋_GB2312" w:hAnsi="仿宋_GB2312" w:eastAsia="仿宋_GB2312" w:cs="仿宋_GB2312"/>
          <w:color w:val="000000" w:themeColor="text1"/>
          <w:sz w:val="32"/>
          <w:szCs w:val="32"/>
          <w14:textFill>
            <w14:solidFill>
              <w14:schemeClr w14:val="tx1"/>
            </w14:solidFill>
          </w14:textFill>
        </w:rPr>
        <w:t>对标计量先进技术水平，完善量值溯源体系，建设一批面向重点产业和人民生命健康的关键计量测试能力，</w:t>
      </w:r>
      <w:r>
        <w:rPr>
          <w:rFonts w:hint="eastAsia" w:ascii="仿宋_GB2312" w:hAnsi="仿宋_GB2312" w:eastAsia="仿宋_GB2312" w:cs="仿宋_GB2312"/>
          <w:color w:val="000000" w:themeColor="text1"/>
          <w:kern w:val="2"/>
          <w:sz w:val="32"/>
          <w:szCs w:val="32"/>
          <w:lang w:bidi="ar"/>
          <w14:textFill>
            <w14:solidFill>
              <w14:schemeClr w14:val="tx1"/>
            </w14:solidFill>
          </w14:textFill>
        </w:rPr>
        <w:t>改造和新建计量标准60项以上。</w:t>
      </w:r>
      <w:r>
        <w:rPr>
          <w:rFonts w:hint="eastAsia" w:ascii="仿宋_GB2312" w:hAnsi="仿宋_GB2312" w:eastAsia="仿宋_GB2312" w:cs="仿宋_GB2312"/>
          <w:color w:val="000000" w:themeColor="text1"/>
          <w:sz w:val="32"/>
          <w:szCs w:val="32"/>
          <w14:textFill>
            <w14:solidFill>
              <w14:schemeClr w14:val="tx1"/>
            </w14:solidFill>
          </w14:textFill>
        </w:rPr>
        <w:t>开展县级法定计量技术机构能力提升行动，</w:t>
      </w:r>
      <w:r>
        <w:rPr>
          <w:rFonts w:hint="eastAsia" w:ascii="仿宋_GB2312" w:hAnsi="仿宋_GB2312" w:eastAsia="仿宋_GB2312" w:cs="仿宋_GB2312"/>
          <w:color w:val="000000" w:themeColor="text1"/>
          <w:kern w:val="2"/>
          <w:sz w:val="32"/>
          <w:szCs w:val="32"/>
          <w:lang w:bidi="ar"/>
          <w14:textFill>
            <w14:solidFill>
              <w14:schemeClr w14:val="tx1"/>
            </w14:solidFill>
          </w14:textFill>
        </w:rPr>
        <w:t>全市县级机构强制检定项目总数增加至50项</w:t>
      </w:r>
      <w:r>
        <w:rPr>
          <w:rFonts w:hint="eastAsia" w:ascii="仿宋_GB2312" w:hAnsi="仿宋_GB2312" w:eastAsia="仿宋_GB2312" w:cs="仿宋_GB2312"/>
          <w:color w:val="000000" w:themeColor="text1"/>
          <w:sz w:val="32"/>
          <w:szCs w:val="32"/>
          <w14:textFill>
            <w14:solidFill>
              <w14:schemeClr w14:val="tx1"/>
            </w14:solidFill>
          </w14:textFill>
        </w:rPr>
        <w:t>。大力发展计量校准测试服务业，培育一批本土品牌校准机构。</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提升计量服务水平。</w:t>
      </w:r>
      <w:r>
        <w:rPr>
          <w:rFonts w:hint="eastAsia" w:ascii="仿宋_GB2312" w:hAnsi="仿宋_GB2312" w:eastAsia="仿宋_GB2312" w:cs="仿宋_GB2312"/>
          <w:color w:val="000000" w:themeColor="text1"/>
          <w:sz w:val="32"/>
          <w:szCs w:val="32"/>
          <w14:textFill>
            <w14:solidFill>
              <w14:schemeClr w14:val="tx1"/>
            </w14:solidFill>
          </w14:textFill>
        </w:rPr>
        <w:t>开展计量帮扶行动，帮助和指导1000家企业完善测量体系，提升质量基础服务能力。开展计量惠民工程，针对贸易公平、环境监测、医疗健康、节能减排、循环经济等计量需求，为2000家以上企业提供技术服务。加强能源资源计量和产业计量建设，开展碳排放测量、大气环境、大流量等先进测量技术研究和探索，组织高耗能行业能效对标和节能诊断，完成能源计量审查20家以上。</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39" w:name="_Toc79779449"/>
      <w:r>
        <w:rPr>
          <w:rFonts w:hint="eastAsia" w:ascii="Times New Roman" w:hAnsi="Times New Roman" w:eastAsia="楷体_GB2312" w:cs="Times New Roman"/>
          <w:b w:val="0"/>
          <w:color w:val="000000" w:themeColor="text1"/>
          <w14:textFill>
            <w14:solidFill>
              <w14:schemeClr w14:val="tx1"/>
            </w14:solidFill>
          </w14:textFill>
        </w:rPr>
        <w:t>（三）提升检验检测能力</w:t>
      </w:r>
      <w:bookmarkEnd w:id="39"/>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加快检验检测能力提升。</w:t>
      </w:r>
      <w:r>
        <w:rPr>
          <w:rFonts w:hint="eastAsia" w:ascii="仿宋_GB2312" w:hAnsi="仿宋_GB2312" w:eastAsia="仿宋_GB2312" w:cs="仿宋_GB2312"/>
          <w:color w:val="000000" w:themeColor="text1"/>
          <w:sz w:val="32"/>
          <w:szCs w:val="32"/>
          <w14:textFill>
            <w14:solidFill>
              <w14:schemeClr w14:val="tx1"/>
            </w14:solidFill>
          </w14:textFill>
        </w:rPr>
        <w:t>持续加强检测装备投入和技术改造，突破一批我市产业和企业“卡脖子”检验检测技术。大幅提高参数覆盖比例，重点提升食品生物安全、转基因食品、中药材、医疗器械，以及锯床、缝纫机产品和滚动功能部件检测能力，新增参数500个；药品常规检验项目及参数达到B级标准的80%，并取得微生物和理化检验模块的注册和备案检验资质；化妆品常规检验项目及参数达到B级标准的85%。</w:t>
      </w:r>
    </w:p>
    <w:p>
      <w:pPr>
        <w:pStyle w:val="2"/>
        <w:spacing w:line="580" w:lineRule="exact"/>
        <w:ind w:left="0" w:firstLine="643" w:firstLineChars="200"/>
        <w:textAlignment w:val="baseline"/>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b/>
          <w:bCs/>
          <w:color w:val="000000" w:themeColor="text1"/>
          <w14:textFill>
            <w14:solidFill>
              <w14:schemeClr w14:val="tx1"/>
            </w14:solidFill>
          </w14:textFill>
        </w:rPr>
        <w:t>提升检验检测服务质量。</w:t>
      </w:r>
      <w:r>
        <w:rPr>
          <w:rFonts w:hint="eastAsia" w:ascii="仿宋_GB2312" w:hAnsi="仿宋_GB2312" w:eastAsia="仿宋_GB2312" w:cs="仿宋_GB2312"/>
          <w:color w:val="000000" w:themeColor="text1"/>
          <w:kern w:val="0"/>
          <w14:textFill>
            <w14:solidFill>
              <w14:schemeClr w14:val="tx1"/>
            </w14:solidFill>
          </w14:textFill>
        </w:rPr>
        <w:t>出台措施鼓励学术带头人、高层次人才开展相关领域学术研究，设立学术委员会，筹建博士后科研工作站，支撑实验室和高水平检验检测项目建设。</w:t>
      </w:r>
      <w:r>
        <w:rPr>
          <w:rFonts w:hint="eastAsia" w:ascii="仿宋_GB2312" w:hAnsi="仿宋_GB2312" w:eastAsia="仿宋_GB2312" w:cs="仿宋_GB2312"/>
          <w:color w:val="000000" w:themeColor="text1"/>
          <w14:textFill>
            <w14:solidFill>
              <w14:schemeClr w14:val="tx1"/>
            </w14:solidFill>
          </w14:textFill>
        </w:rPr>
        <w:t>深化检验检测“最多跑一次”改革，综合运用大数据分析、人工智能等先进技术，实现检验检测服务全程“一网通办”。</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0" w:name="_Toc79779450"/>
      <w:r>
        <w:rPr>
          <w:rFonts w:ascii="Times New Roman" w:hAnsi="Times New Roman" w:eastAsia="楷体_GB2312" w:cs="Times New Roman"/>
          <w:b w:val="0"/>
          <w:color w:val="000000" w:themeColor="text1"/>
          <w14:textFill>
            <w14:solidFill>
              <w14:schemeClr w14:val="tx1"/>
            </w14:solidFill>
          </w14:textFill>
        </w:rPr>
        <w:t>（四）强化认证认可服务</w:t>
      </w:r>
      <w:bookmarkEnd w:id="40"/>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加快“丽水山耕”等农业公共品牌认证，扩大有机产品认证群体。推进“品字标浙江制造”认证，提升质量、环境、职业健康安全、能源、知识产权管理体系认证质量。推动民宿服务认证，探索开展养老服务认证体系研究。加快绿色产品认证拓点扩面，推动与绿</w:t>
      </w:r>
      <w:r>
        <w:rPr>
          <w:rFonts w:eastAsia="仿宋_GB2312"/>
          <w:color w:val="000000" w:themeColor="text1"/>
          <w:sz w:val="32"/>
          <w:szCs w:val="32"/>
          <w14:textFill>
            <w14:solidFill>
              <w14:schemeClr w14:val="tx1"/>
            </w14:solidFill>
          </w14:textFill>
        </w:rPr>
        <w:t>色制造采信互认，扩大绿色包装、绿色建材认证。</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1" w:name="_Toc79779451"/>
      <w:r>
        <w:rPr>
          <w:rFonts w:ascii="Times New Roman" w:hAnsi="Times New Roman" w:eastAsia="楷体_GB2312" w:cs="Times New Roman"/>
          <w:b w:val="0"/>
          <w:color w:val="000000" w:themeColor="text1"/>
          <w14:textFill>
            <w14:solidFill>
              <w14:schemeClr w14:val="tx1"/>
            </w14:solidFill>
          </w14:textFill>
        </w:rPr>
        <w:t>（五）加强知识产权保护</w:t>
      </w:r>
      <w:bookmarkEnd w:id="41"/>
    </w:p>
    <w:p>
      <w:pPr>
        <w:spacing w:line="580" w:lineRule="exact"/>
        <w:ind w:firstLine="643"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b/>
          <w:bCs/>
          <w:color w:val="000000" w:themeColor="text1"/>
          <w:sz w:val="32"/>
          <w:szCs w:val="32"/>
          <w14:textFill>
            <w14:solidFill>
              <w14:schemeClr w14:val="tx1"/>
            </w14:solidFill>
          </w14:textFill>
        </w:rPr>
        <w:t>健全知识产权保护机制。</w:t>
      </w:r>
      <w:r>
        <w:rPr>
          <w:rFonts w:hint="eastAsia" w:ascii="仿宋_GB2312" w:hAnsi="仿宋_GB2312" w:eastAsia="仿宋_GB2312" w:cs="仿宋_GB2312"/>
          <w:sz w:val="32"/>
          <w:szCs w:val="32"/>
        </w:rPr>
        <w:t>充分发挥丽水市知识产权工作领导小组的作用，建立知识产权协同保护机制。</w:t>
      </w:r>
      <w:r>
        <w:rPr>
          <w:rFonts w:hint="eastAsia" w:ascii="仿宋_GB2312" w:hAnsi="仿宋_GB2312" w:eastAsia="仿宋_GB2312" w:cs="仿宋_GB2312"/>
          <w:color w:val="000000" w:themeColor="text1"/>
          <w:sz w:val="32"/>
          <w:szCs w:val="32"/>
          <w14:textFill>
            <w14:solidFill>
              <w14:schemeClr w14:val="tx1"/>
            </w14:solidFill>
          </w14:textFill>
        </w:rPr>
        <w:t>设立知识产权调解与处理中心，提升知识产权纠纷调解能力，推进中国木制玩具快速维权中心（云和）的建立。</w:t>
      </w:r>
      <w:r>
        <w:rPr>
          <w:rFonts w:hint="eastAsia" w:ascii="仿宋_GB2312" w:hAnsi="仿宋_GB2312" w:eastAsia="仿宋_GB2312" w:cs="仿宋_GB2312"/>
          <w:sz w:val="32"/>
          <w:szCs w:val="32"/>
        </w:rPr>
        <w:t>创新知识产权保护模式，引入产业知识产权联盟、诉调对接等机制充实保护体系。开展知识产权保护专项行动，在商贸流通领域、</w:t>
      </w:r>
      <w:r>
        <w:rPr>
          <w:rFonts w:hint="eastAsia" w:ascii="仿宋_GB2312" w:hAnsi="仿宋_GB2312" w:eastAsia="仿宋_GB2312" w:cs="仿宋_GB2312"/>
          <w:kern w:val="2"/>
          <w:sz w:val="32"/>
          <w:szCs w:val="32"/>
        </w:rPr>
        <w:t>中介服务市场</w:t>
      </w:r>
      <w:r>
        <w:rPr>
          <w:rFonts w:hint="eastAsia" w:ascii="仿宋_GB2312" w:hAnsi="仿宋_GB2312" w:eastAsia="仿宋_GB2312" w:cs="仿宋_GB2312"/>
          <w:sz w:val="32"/>
          <w:szCs w:val="32"/>
        </w:rPr>
        <w:t>、电子商务领域开展专利、商标专项执法行动。</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构建知识产权公共服务体系。</w:t>
      </w:r>
      <w:r>
        <w:rPr>
          <w:rFonts w:hint="eastAsia" w:ascii="仿宋_GB2312" w:hAnsi="仿宋_GB2312" w:eastAsia="仿宋_GB2312" w:cs="仿宋_GB2312"/>
          <w:color w:val="000000" w:themeColor="text1"/>
          <w:sz w:val="32"/>
          <w:szCs w:val="32"/>
          <w14:textFill>
            <w14:solidFill>
              <w14:schemeClr w14:val="tx1"/>
            </w14:solidFill>
          </w14:textFill>
        </w:rPr>
        <w:t>搭建品牌公共服务平台。修订完善《丽水市知识产权示范企业认定管理办法》，构建国家、省、市三级知识产权示范企业的梯队培育机制，规范企业知识产权管理。打造知识产权“线上+线下”服务平台，做好宣传推广运用，力争打造省级知识产权人才培养基地。</w:t>
      </w:r>
    </w:p>
    <w:p>
      <w:pPr>
        <w:pStyle w:val="4"/>
        <w:spacing w:line="580" w:lineRule="exact"/>
        <w:ind w:firstLine="640" w:firstLineChars="200"/>
        <w:textAlignment w:val="baseline"/>
        <w:rPr>
          <w:b w:val="0"/>
          <w:bCs w:val="0"/>
          <w:color w:val="000000" w:themeColor="text1"/>
          <w14:textFill>
            <w14:solidFill>
              <w14:schemeClr w14:val="tx1"/>
            </w14:solidFill>
          </w14:textFill>
        </w:rPr>
      </w:pPr>
      <w:bookmarkStart w:id="42" w:name="_Toc79779452"/>
      <w:r>
        <w:rPr>
          <w:b w:val="0"/>
          <w:bCs w:val="0"/>
          <w:color w:val="000000" w:themeColor="text1"/>
          <w14:textFill>
            <w14:solidFill>
              <w14:schemeClr w14:val="tx1"/>
            </w14:solidFill>
          </w14:textFill>
        </w:rPr>
        <w:t>八、强化质量安全监管</w:t>
      </w:r>
      <w:bookmarkEnd w:id="42"/>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3" w:name="_Toc79779453"/>
      <w:r>
        <w:rPr>
          <w:rFonts w:ascii="Times New Roman" w:hAnsi="Times New Roman" w:eastAsia="楷体_GB2312" w:cs="Times New Roman"/>
          <w:b w:val="0"/>
          <w:color w:val="000000" w:themeColor="text1"/>
          <w14:textFill>
            <w14:solidFill>
              <w14:schemeClr w14:val="tx1"/>
            </w14:solidFill>
          </w14:textFill>
        </w:rPr>
        <w:t>（一）</w:t>
      </w:r>
      <w:bookmarkStart w:id="44" w:name="_Toc65824914"/>
      <w:r>
        <w:rPr>
          <w:rFonts w:hint="eastAsia" w:ascii="Times New Roman" w:hAnsi="Times New Roman" w:eastAsia="楷体_GB2312" w:cs="Times New Roman"/>
          <w:b w:val="0"/>
          <w:color w:val="000000" w:themeColor="text1"/>
          <w14:textFill>
            <w14:solidFill>
              <w14:schemeClr w14:val="tx1"/>
            </w14:solidFill>
          </w14:textFill>
        </w:rPr>
        <w:t>提升质量安全监管能力</w:t>
      </w:r>
      <w:bookmarkEnd w:id="43"/>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强化市场监管科技创新。</w:t>
      </w:r>
      <w:r>
        <w:rPr>
          <w:rFonts w:hint="eastAsia" w:ascii="仿宋_GB2312" w:hAnsi="仿宋_GB2312" w:eastAsia="仿宋_GB2312" w:cs="仿宋_GB2312"/>
          <w:color w:val="000000" w:themeColor="text1"/>
          <w:sz w:val="32"/>
          <w:szCs w:val="32"/>
          <w14:textFill>
            <w14:solidFill>
              <w14:schemeClr w14:val="tx1"/>
            </w14:solidFill>
          </w14:textFill>
        </w:rPr>
        <w:t>争创高能级创新载体，围绕质量安全监管支撑和产业服务技术需求，培育创建省级重点实验室、省级科普基地、省级博士后工作站等省级部门科技创新载体，争创国家质检中心、国家重点实验室等创新载体。强化关键核心技术攻关。围绕市场监管链、产业服务链部署科技创新链，加强与我省重大科技专项的衔接，实施市场监管科研项目“雏鹰计划”，聚焦“卡脖子”核心技术和全市经济社会发展中的重大质量技术需求，凝练项目，加强“产学研检”协同，开展集中攻关，加快取得一批标志性成果。加快科技成果转化应用。加快科技成果向监管一线和现实生产力转移转化。加强市场监管科技资源开放共享，加大市场监管科学普及力度。</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加强重点领域质量监管</w:t>
      </w:r>
      <w:r>
        <w:rPr>
          <w:rFonts w:hint="eastAsia" w:ascii="仿宋_GB2312" w:hAnsi="仿宋_GB2312" w:eastAsia="仿宋_GB2312" w:cs="仿宋_GB2312"/>
          <w:color w:val="000000" w:themeColor="text1"/>
          <w:sz w:val="32"/>
          <w:szCs w:val="32"/>
          <w14:textFill>
            <w14:solidFill>
              <w14:schemeClr w14:val="tx1"/>
            </w14:solidFill>
          </w14:textFill>
        </w:rPr>
        <w:t>。</w:t>
      </w:r>
      <w:bookmarkEnd w:id="44"/>
      <w:r>
        <w:rPr>
          <w:rFonts w:hint="eastAsia" w:ascii="仿宋_GB2312" w:hAnsi="仿宋_GB2312" w:eastAsia="仿宋_GB2312" w:cs="仿宋_GB2312"/>
          <w:color w:val="000000" w:themeColor="text1"/>
          <w:sz w:val="32"/>
          <w:szCs w:val="32"/>
          <w14:textFill>
            <w14:solidFill>
              <w14:schemeClr w14:val="tx1"/>
            </w14:solidFill>
          </w14:textFill>
        </w:rPr>
        <w:t>充分发挥生产许可、监督抽查、风险监控、技术或检验机构监管职能作用，健全食品药品、农产品、特种设备、重点消费品等重点行业、重点产品质量分级分类监管机制，依托数字化智慧监管系统，提高行业、产品质量安全监管的精准性和有效性。开展智能化工地、标准化工地、红色建筑工地建设，严格执行工程质量终身责任制、永久性标牌制、质量信息档案等制度，落实建设单位首位、施工单位主体责任，强化勘察设计单位源头把控。完善丽水环境监测网络。加强第三方环境检测机构质量管理，推进多方协同预警与联动治理，提升公共安全共管共治能力。</w:t>
      </w:r>
      <w:bookmarkStart w:id="45" w:name="_Toc65824915"/>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6" w:name="_Toc79779454"/>
      <w:r>
        <w:rPr>
          <w:rFonts w:ascii="Times New Roman" w:hAnsi="Times New Roman" w:eastAsia="楷体_GB2312" w:cs="Times New Roman"/>
          <w:b w:val="0"/>
          <w:color w:val="000000" w:themeColor="text1"/>
          <w14:textFill>
            <w14:solidFill>
              <w14:schemeClr w14:val="tx1"/>
            </w14:solidFill>
          </w14:textFill>
        </w:rPr>
        <w:t>（</w:t>
      </w:r>
      <w:r>
        <w:rPr>
          <w:rFonts w:hint="eastAsia" w:ascii="Times New Roman" w:hAnsi="Times New Roman" w:eastAsia="楷体_GB2312" w:cs="Times New Roman"/>
          <w:b w:val="0"/>
          <w:color w:val="000000" w:themeColor="text1"/>
          <w14:textFill>
            <w14:solidFill>
              <w14:schemeClr w14:val="tx1"/>
            </w14:solidFill>
          </w14:textFill>
        </w:rPr>
        <w:t>二</w:t>
      </w:r>
      <w:r>
        <w:rPr>
          <w:rFonts w:ascii="Times New Roman" w:hAnsi="Times New Roman" w:eastAsia="楷体_GB2312" w:cs="Times New Roman"/>
          <w:b w:val="0"/>
          <w:color w:val="000000" w:themeColor="text1"/>
          <w14:textFill>
            <w14:solidFill>
              <w14:schemeClr w14:val="tx1"/>
            </w14:solidFill>
          </w14:textFill>
        </w:rPr>
        <w:t>）健全质量安全监管机制</w:t>
      </w:r>
      <w:bookmarkEnd w:id="45"/>
      <w:bookmarkEnd w:id="46"/>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落实质量信用监管机制。</w:t>
      </w:r>
      <w:r>
        <w:rPr>
          <w:rFonts w:hint="eastAsia" w:ascii="仿宋_GB2312" w:hAnsi="仿宋_GB2312" w:eastAsia="仿宋_GB2312" w:cs="仿宋_GB2312"/>
          <w:color w:val="000000" w:themeColor="text1"/>
          <w:sz w:val="32"/>
          <w:szCs w:val="32"/>
          <w14:textFill>
            <w14:solidFill>
              <w14:schemeClr w14:val="tx1"/>
            </w14:solidFill>
          </w14:textFill>
        </w:rPr>
        <w:t>全面推行以“双随机、一公开”为基本手段、以重点监管为补充、以信用监管为基础的新型监管机制。实施质量信用信息归集公示共享机制，聚焦重点监管领域，推进企业信用风险预警与质量安全风险监测融合应用，对产品、企业、行业实施差异化监管，提高监管资源应用效率和监管精准性、靶向性。推行质量失信企业通报制度，建立质量失信惩戒措施清单，加大联合惩戒力度，强化信用约束。</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健全质量安全追溯机制。</w:t>
      </w:r>
      <w:r>
        <w:rPr>
          <w:rFonts w:hint="eastAsia" w:ascii="仿宋_GB2312" w:hAnsi="仿宋_GB2312" w:eastAsia="仿宋_GB2312" w:cs="仿宋_GB2312"/>
          <w:color w:val="000000" w:themeColor="text1"/>
          <w:sz w:val="32"/>
          <w:szCs w:val="32"/>
          <w14:textFill>
            <w14:solidFill>
              <w14:schemeClr w14:val="tx1"/>
            </w14:solidFill>
          </w14:textFill>
        </w:rPr>
        <w:t>明确与消费者构成直接利益关系的主体承担首负责任。鼓励运用物联网技术，建立健全重点产品质量追溯体系和质量安全检验检测体系。深入开展质量安全风险监测、高风险产品监督抽查和缺陷产品调查，推进各类追溯信息互通共享，完善质量安全追溯链条，推动企业落实缺陷产品召回主体责任。健全假冒伪劣与不合格产品举报制度，探索产品质量责任惩罚性赔偿机制。</w:t>
      </w:r>
      <w:bookmarkStart w:id="47" w:name="_Toc65824916"/>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8" w:name="_Toc79779455"/>
      <w:r>
        <w:rPr>
          <w:rFonts w:ascii="Times New Roman" w:hAnsi="Times New Roman" w:eastAsia="楷体_GB2312" w:cs="Times New Roman"/>
          <w:b w:val="0"/>
          <w:color w:val="000000" w:themeColor="text1"/>
          <w14:textFill>
            <w14:solidFill>
              <w14:schemeClr w14:val="tx1"/>
            </w14:solidFill>
          </w14:textFill>
        </w:rPr>
        <w:t>（</w:t>
      </w:r>
      <w:r>
        <w:rPr>
          <w:rFonts w:hint="eastAsia" w:ascii="Times New Roman" w:hAnsi="Times New Roman" w:eastAsia="楷体_GB2312" w:cs="Times New Roman"/>
          <w:b w:val="0"/>
          <w:color w:val="000000" w:themeColor="text1"/>
          <w14:textFill>
            <w14:solidFill>
              <w14:schemeClr w14:val="tx1"/>
            </w14:solidFill>
          </w14:textFill>
        </w:rPr>
        <w:t>三</w:t>
      </w:r>
      <w:r>
        <w:rPr>
          <w:rFonts w:ascii="Times New Roman" w:hAnsi="Times New Roman" w:eastAsia="楷体_GB2312" w:cs="Times New Roman"/>
          <w:b w:val="0"/>
          <w:color w:val="000000" w:themeColor="text1"/>
          <w14:textFill>
            <w14:solidFill>
              <w14:schemeClr w14:val="tx1"/>
            </w14:solidFill>
          </w14:textFill>
        </w:rPr>
        <w:t>）构建质量安全防控体系</w:t>
      </w:r>
      <w:bookmarkEnd w:id="47"/>
      <w:bookmarkEnd w:id="48"/>
    </w:p>
    <w:p>
      <w:pPr>
        <w:spacing w:line="580" w:lineRule="exact"/>
        <w:ind w:firstLine="643" w:firstLineChars="200"/>
        <w:textAlignment w:val="baseline"/>
        <w:rPr>
          <w:rFonts w:ascii="仿宋_GB2312" w:hAnsi="仿宋_GB2312" w:eastAsia="仿宋_GB2312" w:cs="仿宋_GB2312"/>
          <w:color w:val="000000" w:themeColor="text1"/>
          <w:sz w:val="32"/>
          <w:szCs w:val="32"/>
          <w:highlight w:val="yellow"/>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建立质量风险防控机制。</w:t>
      </w:r>
      <w:r>
        <w:rPr>
          <w:rFonts w:hint="eastAsia" w:ascii="仿宋_GB2312" w:hAnsi="仿宋_GB2312" w:eastAsia="仿宋_GB2312" w:cs="仿宋_GB2312"/>
          <w:color w:val="000000" w:themeColor="text1"/>
          <w:sz w:val="32"/>
          <w:szCs w:val="32"/>
          <w14:textFill>
            <w14:solidFill>
              <w14:schemeClr w14:val="tx1"/>
            </w14:solidFill>
          </w14:textFill>
        </w:rPr>
        <w:t>建立健全跨区域、跨部门质量协同监管机制。完善重大质量安全事件应急处置体系，制定风险应急预案，严格执行重大质量事故报告和应急处理制度，实施应急专项风险监测。建立产品抽检、信用评估、风险隐患排查日志、事故隐患公开报告等制度，建立风险预警信息及时（即时）发布机制。</w:t>
      </w:r>
    </w:p>
    <w:p>
      <w:pPr>
        <w:spacing w:line="580" w:lineRule="exact"/>
        <w:ind w:firstLine="643" w:firstLineChars="200"/>
        <w:textAlignment w:val="baseline"/>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运用数字化监管方法。</w:t>
      </w:r>
      <w:r>
        <w:rPr>
          <w:rFonts w:hint="eastAsia" w:ascii="仿宋_GB2312" w:hAnsi="仿宋_GB2312" w:eastAsia="仿宋_GB2312" w:cs="仿宋_GB2312"/>
          <w:color w:val="000000" w:themeColor="text1"/>
          <w:sz w:val="32"/>
          <w:szCs w:val="32"/>
          <w14:textFill>
            <w14:solidFill>
              <w14:schemeClr w14:val="tx1"/>
            </w14:solidFill>
          </w14:textFill>
        </w:rPr>
        <w:t>推动质量管理数字化进程，重点推进“放心消费在浙江”、特种设备安全综合管理系统、食品安全综合治理数字化平台、全国互联网广告监测平台、全国网络交易监测平台的应用，提升重点领域的质量监管和服务能力。严控互联网假冒伪劣商品销售流通，加强线上线下质量、标准一致性管理，切实保护消费者和商户的合法权益。</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打击质量违法行为。</w:t>
      </w:r>
      <w:r>
        <w:rPr>
          <w:rFonts w:hint="eastAsia" w:ascii="仿宋_GB2312" w:hAnsi="仿宋_GB2312" w:eastAsia="仿宋_GB2312" w:cs="仿宋_GB2312"/>
          <w:color w:val="000000" w:themeColor="text1"/>
          <w:sz w:val="32"/>
          <w:szCs w:val="32"/>
          <w14:textFill>
            <w14:solidFill>
              <w14:schemeClr w14:val="tx1"/>
            </w14:solidFill>
          </w14:textFill>
        </w:rPr>
        <w:t>实行质量违法违规联合惩戒，运用穿透式监管、卫星成像、网站对接等技术，全面提升质量欺诈、经营失信、污染排查等领域的监管侦查防控能力。完善网络商品质量管控体系，加大假冒伪劣行为惩治。强化行政执法与刑事司法的有效衔接，完善互联网司法新模式，构建一站式网上诉讼服务和司法公开体系，严厉打击质量违法失信行为。</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bookmarkStart w:id="49" w:name="_Toc79779456"/>
      <w:r>
        <w:rPr>
          <w:rFonts w:ascii="Times New Roman" w:hAnsi="Times New Roman" w:eastAsia="楷体_GB2312" w:cs="Times New Roman"/>
          <w:b w:val="0"/>
          <w:color w:val="000000" w:themeColor="text1"/>
          <w14:textFill>
            <w14:solidFill>
              <w14:schemeClr w14:val="tx1"/>
            </w14:solidFill>
          </w14:textFill>
        </w:rPr>
        <w:t>（</w:t>
      </w:r>
      <w:r>
        <w:rPr>
          <w:rFonts w:hint="eastAsia" w:ascii="Times New Roman" w:hAnsi="Times New Roman" w:eastAsia="楷体_GB2312" w:cs="Times New Roman"/>
          <w:b w:val="0"/>
          <w:color w:val="000000" w:themeColor="text1"/>
          <w14:textFill>
            <w14:solidFill>
              <w14:schemeClr w14:val="tx1"/>
            </w14:solidFill>
          </w14:textFill>
        </w:rPr>
        <w:t>四</w:t>
      </w:r>
      <w:r>
        <w:rPr>
          <w:rFonts w:ascii="Times New Roman" w:hAnsi="Times New Roman" w:eastAsia="楷体_GB2312" w:cs="Times New Roman"/>
          <w:b w:val="0"/>
          <w:color w:val="000000" w:themeColor="text1"/>
          <w14:textFill>
            <w14:solidFill>
              <w14:schemeClr w14:val="tx1"/>
            </w14:solidFill>
          </w14:textFill>
        </w:rPr>
        <w:t>）筑牢特种设备监管底线</w:t>
      </w:r>
      <w:bookmarkEnd w:id="49"/>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建立特种设备安全防控体系。</w:t>
      </w:r>
      <w:r>
        <w:rPr>
          <w:rFonts w:hint="eastAsia" w:ascii="仿宋_GB2312" w:hAnsi="仿宋_GB2312" w:eastAsia="仿宋_GB2312" w:cs="仿宋_GB2312"/>
          <w:color w:val="000000" w:themeColor="text1"/>
          <w:sz w:val="32"/>
          <w:szCs w:val="32"/>
          <w14:textFill>
            <w14:solidFill>
              <w14:schemeClr w14:val="tx1"/>
            </w14:solidFill>
          </w14:textFill>
        </w:rPr>
        <w:t>全面运用特种设备企业安全分类评价系统，指导、督促企业应用该标准进行风险自辨自控和隐患自查自改，对大型游乐设施、客运索道、公众聚集场所电梯、大型起重机械、电站锅炉、涉危化学品的压力容器和管道及快开门式压力容器等领域重点开展风险管控和隐患治理的双重预防机制建设，严格落实隐患排查闭环管理，确保重大风险隐患整改率达100%。</w:t>
      </w:r>
    </w:p>
    <w:p>
      <w:pPr>
        <w:spacing w:line="580" w:lineRule="exact"/>
        <w:ind w:firstLine="643" w:firstLineChars="200"/>
        <w:textAlignment w:val="baseline"/>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提升数字化、可视化监管能力。</w:t>
      </w:r>
      <w:r>
        <w:rPr>
          <w:rFonts w:hint="eastAsia" w:ascii="仿宋_GB2312" w:hAnsi="仿宋_GB2312" w:eastAsia="仿宋_GB2312" w:cs="仿宋_GB2312"/>
          <w:color w:val="000000" w:themeColor="text1"/>
          <w:sz w:val="32"/>
          <w:szCs w:val="32"/>
          <w14:textFill>
            <w14:solidFill>
              <w14:schemeClr w14:val="tx1"/>
            </w14:solidFill>
          </w14:textFill>
        </w:rPr>
        <w:t>发挥互联网+监管，建设特种设备动态智能监管平台（1库+5端口+1应急中心），突出数字化和可视化转型升级，实现“一机在手、状况皆知、精准督察、确保安全”的特种设备管理目标。</w:t>
      </w:r>
    </w:p>
    <w:p>
      <w:pPr>
        <w:pStyle w:val="4"/>
        <w:spacing w:line="580" w:lineRule="exact"/>
        <w:ind w:firstLine="640" w:firstLineChars="200"/>
        <w:textAlignment w:val="baseline"/>
        <w:rPr>
          <w:b w:val="0"/>
          <w:bCs w:val="0"/>
          <w:color w:val="000000" w:themeColor="text1"/>
          <w14:textFill>
            <w14:solidFill>
              <w14:schemeClr w14:val="tx1"/>
            </w14:solidFill>
          </w14:textFill>
        </w:rPr>
      </w:pPr>
      <w:r>
        <w:rPr>
          <w:b w:val="0"/>
          <w:bCs w:val="0"/>
          <w:color w:val="000000" w:themeColor="text1"/>
          <w14:textFill>
            <w14:solidFill>
              <w14:schemeClr w14:val="tx1"/>
            </w14:solidFill>
          </w14:textFill>
        </w:rPr>
        <w:t>九、提升质量保障能力</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（一）强化组织保障</w:t>
      </w:r>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充分发挥丽水市质量强市工作领导小组和标准化战略领导小组作用，强化对全市质量和标准化建设工作的统一领导和统筹协调，督促检查规划落实，推进质量发展和标准化工作。建立质量和标准化市、县（市、区）、乡（镇）三级目标考核体系，督促各级政府将质量和标准化建设工作列入重要议事日程，明确目标任务，压实工作责任，切实强化组织保障。</w:t>
      </w:r>
      <w:r>
        <w:rPr>
          <w:rFonts w:hint="eastAsia" w:eastAsia="仿宋_GB2312"/>
          <w:color w:val="000000" w:themeColor="text1"/>
          <w:sz w:val="32"/>
          <w:szCs w:val="32"/>
          <w14:textFill>
            <w14:solidFill>
              <w14:schemeClr w14:val="tx1"/>
            </w14:solidFill>
          </w14:textFill>
        </w:rPr>
        <w:t>把标准化工作纳入政府部门年度绩效考核和政绩考核指标体系，不</w:t>
      </w:r>
      <w:r>
        <w:rPr>
          <w:rFonts w:eastAsia="仿宋_GB2312"/>
          <w:color w:val="000000" w:themeColor="text1"/>
          <w:sz w:val="32"/>
          <w:szCs w:val="32"/>
          <w14:textFill>
            <w14:solidFill>
              <w14:schemeClr w14:val="tx1"/>
            </w14:solidFill>
          </w14:textFill>
        </w:rPr>
        <w:t>断推进相应的考核制度、激励机制的制定和实施，强化过程管理，强化绩效评估，营造全社会重视质量管理、标准创新和品牌创建的良好氛围。</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（二）强化政策支持</w:t>
      </w:r>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加大质量、标准、品牌配套政策和措施，统筹协调涉及质量工作的相关资金，加强对质量提升、标准化、品牌建设、检验检测与公共服务平台建设等方面的经费保障。着力完善相关产业、环境、科技、金融、财政等扶持政策，确保各项工作目标顺利完成。</w:t>
      </w:r>
    </w:p>
    <w:p>
      <w:pPr>
        <w:pStyle w:val="5"/>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（三）强化人才供给</w:t>
      </w:r>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积极对接国家重大人才工程、浙江省高层次人才引进计划，大力引进培养丽水新时代创新人才。建立与省内外高等院校人才合作培养机制，加强质量和标准化高层次人才柔性引进；加强本土人才培养，组建质量、标准化百人数据库，为我市储备各层次的质量专业人才。建立质量人才引进、培养、选拔、使用和激励机制，将质量、标准化专业人才列入重点引进人才对象；大力推行首席质量官、首席标准化师制度，建强质量与标准化人才队伍。</w:t>
      </w:r>
    </w:p>
    <w:p>
      <w:pPr>
        <w:pStyle w:val="5"/>
        <w:numPr>
          <w:ilvl w:val="0"/>
          <w:numId w:val="1"/>
        </w:numPr>
        <w:spacing w:line="580" w:lineRule="exact"/>
        <w:ind w:right="240" w:firstLine="640" w:firstLineChars="200"/>
        <w:textAlignment w:val="baseline"/>
        <w:rPr>
          <w:rFonts w:ascii="Times New Roman" w:hAnsi="Times New Roman" w:eastAsia="楷体_GB2312" w:cs="Times New Roman"/>
          <w:b w:val="0"/>
          <w:color w:val="000000" w:themeColor="text1"/>
          <w14:textFill>
            <w14:solidFill>
              <w14:schemeClr w14:val="tx1"/>
            </w14:solidFill>
          </w14:textFill>
        </w:rPr>
      </w:pPr>
      <w:r>
        <w:rPr>
          <w:rFonts w:ascii="Times New Roman" w:hAnsi="Times New Roman" w:eastAsia="楷体_GB2312" w:cs="Times New Roman"/>
          <w:b w:val="0"/>
          <w:color w:val="000000" w:themeColor="text1"/>
          <w14:textFill>
            <w14:solidFill>
              <w14:schemeClr w14:val="tx1"/>
            </w14:solidFill>
          </w14:textFill>
        </w:rPr>
        <w:t>强化规划实施</w:t>
      </w:r>
    </w:p>
    <w:p>
      <w:pPr>
        <w:pStyle w:val="5"/>
        <w:keepNext/>
        <w:keepLines/>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textAlignment w:val="auto"/>
        <w:rPr>
          <w:rFonts w:hint="eastAsia" w:ascii="仿宋_GB2312" w:hAnsi="仿宋_GB2312" w:eastAsia="仿宋_GB2312" w:cs="仿宋_GB2312"/>
          <w:b w:val="0"/>
          <w:bCs w:val="0"/>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bidi="ar-SA"/>
          <w14:textFill>
            <w14:solidFill>
              <w14:schemeClr w14:val="tx1"/>
            </w14:solidFill>
          </w14:textFill>
        </w:rPr>
        <w:t>对标“十四五”规划的发展目标和重点任务，制订责任清单，建立考核评价机制和统计监测制度，确保各项目标任务全面落实到位。开展规划年度监测分析、中期评估和总结评估，全面掌握规划实施情况，及时发现和解决规划执行中出现的问题，确保规划目标和任务的有效落实。</w:t>
      </w:r>
    </w:p>
    <w:p>
      <w:pPr>
        <w:shd w:val="clear" w:color="auto" w:fill="FFFFFF"/>
        <w:spacing w:before="540"/>
        <w:textAlignment w:val="baseline"/>
        <w:rPr>
          <w:rFonts w:ascii="Arial" w:hAnsi="Arial" w:cs="Arial"/>
          <w:color w:val="000000"/>
          <w:sz w:val="18"/>
          <w:szCs w:val="18"/>
        </w:rPr>
      </w:pPr>
    </w:p>
    <w:p>
      <w:pPr>
        <w:textAlignment w:val="baseline"/>
        <w:rPr>
          <w:sz w:val="20"/>
        </w:rPr>
      </w:pPr>
    </w:p>
    <w:p>
      <w:pPr>
        <w:spacing w:line="580" w:lineRule="exact"/>
        <w:ind w:firstLine="640" w:firstLineChars="200"/>
        <w:textAlignment w:val="baseline"/>
        <w:rPr>
          <w:rFonts w:eastAsia="仿宋_GB2312"/>
          <w:color w:val="000000" w:themeColor="text1"/>
          <w:sz w:val="32"/>
          <w:szCs w:val="32"/>
          <w14:textFill>
            <w14:solidFill>
              <w14:schemeClr w14:val="tx1"/>
            </w14:solidFill>
          </w14:textFill>
        </w:rPr>
      </w:pPr>
    </w:p>
    <w:sectPr>
      <w:footerReference r:id="rId5" w:type="default"/>
      <w:pgSz w:w="11906" w:h="16838"/>
      <w:pgMar w:top="1440" w:right="1797" w:bottom="1440" w:left="1797" w:header="851" w:footer="992" w:gutter="0"/>
      <w:pgNumType w:start="1"/>
      <w:cols w:space="720" w:num="1"/>
      <w:docGrid w:type="lines" w:linePitch="6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B9EDFC6-01AC-429C-9321-40162C9F0F66}"/>
  </w:font>
  <w:font w:name="黑体">
    <w:panose1 w:val="02010609060101010101"/>
    <w:charset w:val="86"/>
    <w:family w:val="auto"/>
    <w:pitch w:val="default"/>
    <w:sig w:usb0="800002BF" w:usb1="38CF7CFA" w:usb2="00000016" w:usb3="00000000" w:csb0="00040001" w:csb1="00000000"/>
    <w:embedRegular r:id="rId2" w:fontKey="{08E5FC53-742C-4F66-A0C1-318C6684BBD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3" w:fontKey="{94DD864C-96BF-4F5B-B420-A7E53FE3041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embedRegular r:id="rId4" w:fontKey="{71D3CD1C-3803-40CF-AE0D-BB5926DDE7B1}"/>
  </w:font>
  <w:font w:name="仿宋">
    <w:panose1 w:val="02010609060101010101"/>
    <w:charset w:val="86"/>
    <w:family w:val="modern"/>
    <w:pitch w:val="default"/>
    <w:sig w:usb0="800002BF" w:usb1="38CF7CFA" w:usb2="00000016" w:usb3="00000000" w:csb0="00040001" w:csb1="00000000"/>
    <w:embedRegular r:id="rId5" w:fontKey="{A3E356DE-CADB-4E16-83CB-A0C48E3E1EB6}"/>
  </w:font>
  <w:font w:name="方正小标宋简体">
    <w:panose1 w:val="02000000000000000000"/>
    <w:charset w:val="86"/>
    <w:family w:val="script"/>
    <w:pitch w:val="default"/>
    <w:sig w:usb0="00000001" w:usb1="08000000" w:usb2="00000000" w:usb3="00000000" w:csb0="00040000" w:csb1="00000000"/>
    <w:embedRegular r:id="rId6" w:fontKey="{777D925E-1680-4E8D-89F0-251AF413A661}"/>
  </w:font>
  <w:font w:name="微软雅黑">
    <w:panose1 w:val="020B0503020204020204"/>
    <w:charset w:val="86"/>
    <w:family w:val="swiss"/>
    <w:pitch w:val="default"/>
    <w:sig w:usb0="80000287" w:usb1="280F3C52" w:usb2="00000016" w:usb3="00000000" w:csb0="0004001F" w:csb1="00000000"/>
    <w:embedRegular r:id="rId7" w:fontKey="{01430168-7D37-4F27-9008-867F863A818F}"/>
  </w:font>
  <w:font w:name="楷体_GB2312">
    <w:altName w:val="楷体"/>
    <w:panose1 w:val="00000000000000000000"/>
    <w:charset w:val="86"/>
    <w:family w:val="modern"/>
    <w:pitch w:val="default"/>
    <w:sig w:usb0="00000000" w:usb1="00000000" w:usb2="00000000" w:usb3="00000000" w:csb0="00040000" w:csb1="00000000"/>
    <w:embedRegular r:id="rId8" w:fontKey="{AB29B42B-F9A1-480B-97D7-28813023C7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83125107"/>
                          </w:sdtPr>
                          <w:sdtContent>
                            <w:p>
                              <w:pPr>
                                <w:pStyle w:val="12"/>
                                <w:jc w:val="center"/>
                              </w:pPr>
                              <w:r>
                                <w:fldChar w:fldCharType="begin"/>
                              </w:r>
                              <w:r>
                                <w:instrText xml:space="preserve">PAGE   \* MERGEFORMAT</w:instrText>
                              </w:r>
                              <w:r>
                                <w:fldChar w:fldCharType="separate"/>
                              </w:r>
                              <w:r>
                                <w:rPr>
                                  <w:lang w:val="zh-CN"/>
                                </w:rPr>
                                <w:t>48</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483125107"/>
                    </w:sdtPr>
                    <w:sdtContent>
                      <w:p>
                        <w:pPr>
                          <w:pStyle w:val="12"/>
                          <w:jc w:val="center"/>
                        </w:pPr>
                        <w:r>
                          <w:fldChar w:fldCharType="begin"/>
                        </w:r>
                        <w:r>
                          <w:instrText xml:space="preserve">PAGE   \* MERGEFORMAT</w:instrText>
                        </w:r>
                        <w:r>
                          <w:fldChar w:fldCharType="separate"/>
                        </w:r>
                        <w:r>
                          <w:rPr>
                            <w:lang w:val="zh-CN"/>
                          </w:rPr>
                          <w:t>48</w:t>
                        </w:r>
                        <w:r>
                          <w:fldChar w:fldCharType="end"/>
                        </w:r>
                      </w:p>
                    </w:sdtContent>
                  </w:sdt>
                  <w:p>
                    <w:pPr>
                      <w:pStyle w:val="2"/>
                    </w:pP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FE012C"/>
    <w:multiLevelType w:val="singleLevel"/>
    <w:tmpl w:val="AEFE012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C461135"/>
    <w:rsid w:val="00000CF8"/>
    <w:rsid w:val="000159D3"/>
    <w:rsid w:val="00041CDB"/>
    <w:rsid w:val="00043DCB"/>
    <w:rsid w:val="00055D83"/>
    <w:rsid w:val="00056664"/>
    <w:rsid w:val="00063D80"/>
    <w:rsid w:val="0006753F"/>
    <w:rsid w:val="00071952"/>
    <w:rsid w:val="000B2DFA"/>
    <w:rsid w:val="000C1F2A"/>
    <w:rsid w:val="000D3F00"/>
    <w:rsid w:val="000E2DC1"/>
    <w:rsid w:val="00140006"/>
    <w:rsid w:val="001B2127"/>
    <w:rsid w:val="002109B4"/>
    <w:rsid w:val="002310B0"/>
    <w:rsid w:val="002A417E"/>
    <w:rsid w:val="002D7583"/>
    <w:rsid w:val="002F737C"/>
    <w:rsid w:val="003116D6"/>
    <w:rsid w:val="003246FE"/>
    <w:rsid w:val="00370E4F"/>
    <w:rsid w:val="00374E92"/>
    <w:rsid w:val="00383184"/>
    <w:rsid w:val="003A792F"/>
    <w:rsid w:val="003B79F1"/>
    <w:rsid w:val="003C2779"/>
    <w:rsid w:val="003E3201"/>
    <w:rsid w:val="003F2EBA"/>
    <w:rsid w:val="004254FB"/>
    <w:rsid w:val="0043341C"/>
    <w:rsid w:val="0046796A"/>
    <w:rsid w:val="00492781"/>
    <w:rsid w:val="004C5E95"/>
    <w:rsid w:val="00502D35"/>
    <w:rsid w:val="00556AD9"/>
    <w:rsid w:val="00573698"/>
    <w:rsid w:val="0059142B"/>
    <w:rsid w:val="005E2343"/>
    <w:rsid w:val="005E3FD1"/>
    <w:rsid w:val="00605107"/>
    <w:rsid w:val="00631D2F"/>
    <w:rsid w:val="00684010"/>
    <w:rsid w:val="006B03F3"/>
    <w:rsid w:val="006C44FD"/>
    <w:rsid w:val="006C553F"/>
    <w:rsid w:val="006E0252"/>
    <w:rsid w:val="006F6EC4"/>
    <w:rsid w:val="0077019E"/>
    <w:rsid w:val="00782BEF"/>
    <w:rsid w:val="00783608"/>
    <w:rsid w:val="007A592F"/>
    <w:rsid w:val="007B4EB0"/>
    <w:rsid w:val="00813C56"/>
    <w:rsid w:val="008557C3"/>
    <w:rsid w:val="008800A7"/>
    <w:rsid w:val="008811AC"/>
    <w:rsid w:val="00884D12"/>
    <w:rsid w:val="008D3851"/>
    <w:rsid w:val="008E1ABF"/>
    <w:rsid w:val="00905D40"/>
    <w:rsid w:val="00921451"/>
    <w:rsid w:val="00931DCC"/>
    <w:rsid w:val="00967A34"/>
    <w:rsid w:val="00977369"/>
    <w:rsid w:val="00984BE2"/>
    <w:rsid w:val="009D1AEA"/>
    <w:rsid w:val="00A03AA0"/>
    <w:rsid w:val="00A1139D"/>
    <w:rsid w:val="00A2106C"/>
    <w:rsid w:val="00A3715A"/>
    <w:rsid w:val="00A65A3E"/>
    <w:rsid w:val="00AB7D38"/>
    <w:rsid w:val="00AC55C1"/>
    <w:rsid w:val="00AD1166"/>
    <w:rsid w:val="00AD2A7C"/>
    <w:rsid w:val="00B30011"/>
    <w:rsid w:val="00B843D2"/>
    <w:rsid w:val="00BD5D8E"/>
    <w:rsid w:val="00C122FC"/>
    <w:rsid w:val="00C1435C"/>
    <w:rsid w:val="00C36516"/>
    <w:rsid w:val="00C61805"/>
    <w:rsid w:val="00C727B7"/>
    <w:rsid w:val="00C86B0C"/>
    <w:rsid w:val="00CB7997"/>
    <w:rsid w:val="00CE6C61"/>
    <w:rsid w:val="00D674AA"/>
    <w:rsid w:val="00DB11F4"/>
    <w:rsid w:val="00DD2663"/>
    <w:rsid w:val="00DE5B32"/>
    <w:rsid w:val="00E00248"/>
    <w:rsid w:val="00E11C7E"/>
    <w:rsid w:val="00E23985"/>
    <w:rsid w:val="00E3411B"/>
    <w:rsid w:val="00EF057D"/>
    <w:rsid w:val="00EF1DAA"/>
    <w:rsid w:val="00F40833"/>
    <w:rsid w:val="00F75A30"/>
    <w:rsid w:val="00F86D4B"/>
    <w:rsid w:val="00F90DCE"/>
    <w:rsid w:val="00FA62F1"/>
    <w:rsid w:val="00FC6E92"/>
    <w:rsid w:val="00FE6B7B"/>
    <w:rsid w:val="00FF02C0"/>
    <w:rsid w:val="00FF345D"/>
    <w:rsid w:val="019C2428"/>
    <w:rsid w:val="04617C7C"/>
    <w:rsid w:val="064C1D8B"/>
    <w:rsid w:val="0B4D4214"/>
    <w:rsid w:val="0C461135"/>
    <w:rsid w:val="0FB96341"/>
    <w:rsid w:val="108733C1"/>
    <w:rsid w:val="10E1192D"/>
    <w:rsid w:val="14731599"/>
    <w:rsid w:val="1601131B"/>
    <w:rsid w:val="181915D4"/>
    <w:rsid w:val="18D63BE7"/>
    <w:rsid w:val="1B6270AF"/>
    <w:rsid w:val="2353669C"/>
    <w:rsid w:val="261D7BC9"/>
    <w:rsid w:val="26C445D8"/>
    <w:rsid w:val="2F521B8C"/>
    <w:rsid w:val="338E62EB"/>
    <w:rsid w:val="3C7A5FC3"/>
    <w:rsid w:val="3D324240"/>
    <w:rsid w:val="3E5D07A7"/>
    <w:rsid w:val="3EFE340B"/>
    <w:rsid w:val="3FDF4DC4"/>
    <w:rsid w:val="405A183A"/>
    <w:rsid w:val="46A87486"/>
    <w:rsid w:val="49316B89"/>
    <w:rsid w:val="4B156589"/>
    <w:rsid w:val="4BD6624A"/>
    <w:rsid w:val="4BFF6A50"/>
    <w:rsid w:val="4D920732"/>
    <w:rsid w:val="4E1C7D2B"/>
    <w:rsid w:val="4EF2C4AE"/>
    <w:rsid w:val="4F55687B"/>
    <w:rsid w:val="52994645"/>
    <w:rsid w:val="52B318EF"/>
    <w:rsid w:val="54CA65FE"/>
    <w:rsid w:val="5BA72EDC"/>
    <w:rsid w:val="5DFFCF4F"/>
    <w:rsid w:val="5EBF61C1"/>
    <w:rsid w:val="609E11D2"/>
    <w:rsid w:val="60E06E97"/>
    <w:rsid w:val="629B519F"/>
    <w:rsid w:val="651D5BF4"/>
    <w:rsid w:val="65AD7E37"/>
    <w:rsid w:val="66110B7E"/>
    <w:rsid w:val="662716DB"/>
    <w:rsid w:val="69473BD5"/>
    <w:rsid w:val="6BCFE09C"/>
    <w:rsid w:val="702B2B2E"/>
    <w:rsid w:val="719E6CF5"/>
    <w:rsid w:val="71F36DEF"/>
    <w:rsid w:val="72BE9537"/>
    <w:rsid w:val="72EF7F31"/>
    <w:rsid w:val="78AA0514"/>
    <w:rsid w:val="79E690AF"/>
    <w:rsid w:val="7BEF2B1B"/>
    <w:rsid w:val="7F98627E"/>
    <w:rsid w:val="7FBF29F0"/>
    <w:rsid w:val="7FFE1A92"/>
    <w:rsid w:val="7FFFBEB4"/>
    <w:rsid w:val="977F8B13"/>
    <w:rsid w:val="BCFFD5F7"/>
    <w:rsid w:val="D7E734A8"/>
    <w:rsid w:val="E4BE5148"/>
    <w:rsid w:val="E9FFB965"/>
    <w:rsid w:val="F76C7A2F"/>
    <w:rsid w:val="FE4FDA65"/>
    <w:rsid w:val="FE6EFE8C"/>
    <w:rsid w:val="FEEB63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qFormat="1" w:unhideWhenUsed="0" w:uiPriority="0" w:semiHidden="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4">
    <w:name w:val="heading 1"/>
    <w:basedOn w:val="1"/>
    <w:next w:val="1"/>
    <w:qFormat/>
    <w:uiPriority w:val="0"/>
    <w:pPr>
      <w:keepNext/>
      <w:keepLines/>
      <w:widowControl w:val="0"/>
      <w:spacing w:line="578" w:lineRule="auto"/>
      <w:outlineLvl w:val="0"/>
    </w:pPr>
    <w:rPr>
      <w:rFonts w:ascii="Times New Roman" w:hAnsi="Times New Roman" w:eastAsia="黑体" w:cs="Times New Roman"/>
      <w:b/>
      <w:bCs/>
      <w:kern w:val="44"/>
      <w:sz w:val="32"/>
      <w:szCs w:val="44"/>
    </w:rPr>
  </w:style>
  <w:style w:type="paragraph" w:styleId="5">
    <w:name w:val="heading 2"/>
    <w:basedOn w:val="6"/>
    <w:next w:val="1"/>
    <w:unhideWhenUsed/>
    <w:qFormat/>
    <w:uiPriority w:val="0"/>
    <w:pPr>
      <w:keepNext/>
      <w:keepLines/>
      <w:ind w:right="210" w:rightChars="100" w:firstLine="0" w:firstLineChars="0"/>
      <w:jc w:val="left"/>
      <w:outlineLvl w:val="1"/>
    </w:pPr>
    <w:rPr>
      <w:rFonts w:ascii="宋体" w:hAnsi="宋体" w:eastAsia="楷体" w:cs="宋体"/>
      <w:b/>
      <w:bCs/>
      <w:sz w:val="32"/>
      <w:szCs w:val="32"/>
    </w:rPr>
  </w:style>
  <w:style w:type="paragraph" w:styleId="7">
    <w:name w:val="heading 3"/>
    <w:basedOn w:val="1"/>
    <w:next w:val="1"/>
    <w:unhideWhenUsed/>
    <w:qFormat/>
    <w:uiPriority w:val="0"/>
    <w:pPr>
      <w:keepNext/>
      <w:keepLines/>
      <w:widowControl w:val="0"/>
      <w:spacing w:before="260" w:after="260" w:line="416" w:lineRule="auto"/>
      <w:outlineLvl w:val="2"/>
    </w:pPr>
    <w:rPr>
      <w:rFonts w:asciiTheme="minorHAnsi" w:hAnsiTheme="minorHAnsi" w:eastAsiaTheme="minorEastAsia" w:cstheme="minorBidi"/>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widowControl w:val="0"/>
      <w:ind w:left="118"/>
      <w:jc w:val="both"/>
    </w:pPr>
    <w:rPr>
      <w:rFonts w:ascii="方正仿宋_GBK" w:hAnsi="方正仿宋_GBK" w:eastAsia="方正仿宋_GBK" w:cs="方正仿宋_GBK"/>
      <w:kern w:val="2"/>
      <w:sz w:val="32"/>
      <w:szCs w:val="32"/>
    </w:rPr>
  </w:style>
  <w:style w:type="paragraph" w:styleId="3">
    <w:name w:val="Body Text First Indent"/>
    <w:basedOn w:val="2"/>
    <w:qFormat/>
    <w:uiPriority w:val="0"/>
    <w:pPr>
      <w:spacing w:line="500" w:lineRule="exact"/>
      <w:ind w:firstLine="420"/>
    </w:pPr>
    <w:rPr>
      <w:sz w:val="28"/>
      <w:szCs w:val="28"/>
    </w:rPr>
  </w:style>
  <w:style w:type="paragraph" w:customStyle="1" w:styleId="6">
    <w:name w:val="正文-报告"/>
    <w:basedOn w:val="1"/>
    <w:qFormat/>
    <w:uiPriority w:val="0"/>
    <w:pPr>
      <w:widowControl w:val="0"/>
      <w:ind w:firstLine="420" w:firstLineChars="200"/>
      <w:jc w:val="both"/>
    </w:pPr>
    <w:rPr>
      <w:rFonts w:ascii="Times New Roman" w:hAnsi="Times New Roman" w:eastAsia="仿宋_GB2312" w:cs="Times New Roman"/>
      <w:kern w:val="2"/>
      <w:sz w:val="28"/>
      <w:szCs w:val="22"/>
    </w:rPr>
  </w:style>
  <w:style w:type="paragraph" w:styleId="8">
    <w:name w:val="Note Heading"/>
    <w:basedOn w:val="1"/>
    <w:next w:val="1"/>
    <w:qFormat/>
    <w:uiPriority w:val="0"/>
    <w:pPr>
      <w:widowControl w:val="0"/>
      <w:jc w:val="center"/>
    </w:pPr>
    <w:rPr>
      <w:rFonts w:ascii="Times New Roman" w:hAnsi="Times New Roman" w:cs="Times New Roman"/>
      <w:kern w:val="2"/>
      <w:sz w:val="21"/>
    </w:rPr>
  </w:style>
  <w:style w:type="paragraph" w:styleId="9">
    <w:name w:val="Normal Indent"/>
    <w:basedOn w:val="1"/>
    <w:qFormat/>
    <w:uiPriority w:val="99"/>
    <w:pPr>
      <w:widowControl w:val="0"/>
      <w:ind w:firstLine="420" w:firstLineChars="200"/>
      <w:jc w:val="both"/>
    </w:pPr>
    <w:rPr>
      <w:rFonts w:ascii="Calibri" w:hAnsi="Calibri" w:cs="Times New Roman"/>
      <w:kern w:val="2"/>
      <w:sz w:val="21"/>
    </w:rPr>
  </w:style>
  <w:style w:type="paragraph" w:styleId="10">
    <w:name w:val="annotation text"/>
    <w:basedOn w:val="1"/>
    <w:link w:val="26"/>
    <w:qFormat/>
    <w:uiPriority w:val="0"/>
  </w:style>
  <w:style w:type="paragraph" w:styleId="11">
    <w:name w:val="Balloon Text"/>
    <w:basedOn w:val="1"/>
    <w:link w:val="32"/>
    <w:qFormat/>
    <w:uiPriority w:val="0"/>
    <w:rPr>
      <w:sz w:val="18"/>
      <w:szCs w:val="18"/>
    </w:rPr>
  </w:style>
  <w:style w:type="paragraph" w:styleId="12">
    <w:name w:val="footer"/>
    <w:basedOn w:val="1"/>
    <w:qFormat/>
    <w:uiPriority w:val="99"/>
    <w:pPr>
      <w:widowControl w:val="0"/>
      <w:tabs>
        <w:tab w:val="center" w:pos="4153"/>
        <w:tab w:val="right" w:pos="8306"/>
      </w:tabs>
      <w:snapToGrid w:val="0"/>
    </w:pPr>
    <w:rPr>
      <w:rFonts w:ascii="Times New Roman" w:hAnsi="Times New Roman" w:cs="Times New Roman"/>
      <w:kern w:val="2"/>
      <w:sz w:val="18"/>
      <w:szCs w:val="18"/>
    </w:rPr>
  </w:style>
  <w:style w:type="paragraph" w:styleId="13">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widowControl w:val="0"/>
      <w:spacing w:before="120" w:after="120"/>
    </w:pPr>
    <w:rPr>
      <w:rFonts w:hAnsi="Times New Roman" w:cs="Times New Roman" w:asciiTheme="minorHAnsi" w:eastAsiaTheme="minorHAnsi"/>
      <w:b/>
      <w:bCs/>
      <w:caps/>
      <w:kern w:val="2"/>
      <w:sz w:val="32"/>
      <w:szCs w:val="20"/>
    </w:rPr>
  </w:style>
  <w:style w:type="paragraph" w:styleId="15">
    <w:name w:val="toc 2"/>
    <w:basedOn w:val="1"/>
    <w:next w:val="1"/>
    <w:unhideWhenUsed/>
    <w:qFormat/>
    <w:uiPriority w:val="39"/>
    <w:pPr>
      <w:widowControl w:val="0"/>
      <w:ind w:left="210"/>
    </w:pPr>
    <w:rPr>
      <w:rFonts w:hAnsi="Times New Roman" w:cs="Times New Roman" w:asciiTheme="minorHAnsi" w:eastAsiaTheme="minorHAnsi"/>
      <w:smallCaps/>
      <w:kern w:val="2"/>
      <w:sz w:val="32"/>
      <w:szCs w:val="20"/>
    </w:rPr>
  </w:style>
  <w:style w:type="paragraph" w:styleId="16">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17">
    <w:name w:val="Normal (Web)"/>
    <w:basedOn w:val="1"/>
    <w:qFormat/>
    <w:uiPriority w:val="99"/>
    <w:pPr>
      <w:spacing w:before="100" w:beforeAutospacing="1" w:after="100" w:afterAutospacing="1"/>
    </w:pPr>
    <w:rPr>
      <w:sz w:val="21"/>
      <w:szCs w:val="21"/>
    </w:rPr>
  </w:style>
  <w:style w:type="paragraph" w:styleId="18">
    <w:name w:val="annotation subject"/>
    <w:basedOn w:val="10"/>
    <w:next w:val="10"/>
    <w:link w:val="27"/>
    <w:qFormat/>
    <w:uiPriority w:val="0"/>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Emphasis"/>
    <w:basedOn w:val="21"/>
    <w:qFormat/>
    <w:uiPriority w:val="0"/>
    <w:rPr>
      <w:i/>
    </w:rPr>
  </w:style>
  <w:style w:type="character" w:styleId="24">
    <w:name w:val="Hyperlink"/>
    <w:basedOn w:val="21"/>
    <w:qFormat/>
    <w:uiPriority w:val="99"/>
    <w:rPr>
      <w:color w:val="0000FF"/>
      <w:u w:val="single"/>
    </w:rPr>
  </w:style>
  <w:style w:type="character" w:styleId="25">
    <w:name w:val="annotation reference"/>
    <w:basedOn w:val="21"/>
    <w:qFormat/>
    <w:uiPriority w:val="0"/>
    <w:rPr>
      <w:sz w:val="21"/>
      <w:szCs w:val="21"/>
    </w:rPr>
  </w:style>
  <w:style w:type="character" w:customStyle="1" w:styleId="26">
    <w:name w:val="批注文字 字符"/>
    <w:basedOn w:val="21"/>
    <w:link w:val="10"/>
    <w:qFormat/>
    <w:uiPriority w:val="0"/>
    <w:rPr>
      <w:rFonts w:ascii="宋体" w:hAnsi="宋体" w:cs="宋体"/>
      <w:sz w:val="24"/>
      <w:szCs w:val="24"/>
    </w:rPr>
  </w:style>
  <w:style w:type="character" w:customStyle="1" w:styleId="27">
    <w:name w:val="批注主题 字符"/>
    <w:basedOn w:val="26"/>
    <w:link w:val="18"/>
    <w:qFormat/>
    <w:uiPriority w:val="0"/>
    <w:rPr>
      <w:rFonts w:ascii="宋体" w:hAnsi="宋体" w:cs="宋体"/>
      <w:b/>
      <w:bCs/>
      <w:sz w:val="24"/>
      <w:szCs w:val="24"/>
    </w:rPr>
  </w:style>
  <w:style w:type="character" w:customStyle="1" w:styleId="28">
    <w:name w:val="font11"/>
    <w:basedOn w:val="21"/>
    <w:qFormat/>
    <w:uiPriority w:val="0"/>
    <w:rPr>
      <w:rFonts w:hint="eastAsia" w:ascii="仿宋" w:hAnsi="仿宋" w:eastAsia="仿宋" w:cs="仿宋"/>
      <w:color w:val="000000"/>
      <w:sz w:val="22"/>
      <w:szCs w:val="22"/>
      <w:u w:val="none"/>
    </w:rPr>
  </w:style>
  <w:style w:type="character" w:customStyle="1" w:styleId="29">
    <w:name w:val="font31"/>
    <w:basedOn w:val="21"/>
    <w:qFormat/>
    <w:uiPriority w:val="0"/>
    <w:rPr>
      <w:rFonts w:hint="eastAsia" w:ascii="仿宋" w:hAnsi="仿宋" w:eastAsia="仿宋" w:cs="仿宋"/>
      <w:color w:val="000000"/>
      <w:sz w:val="22"/>
      <w:szCs w:val="22"/>
      <w:u w:val="none"/>
    </w:rPr>
  </w:style>
  <w:style w:type="character" w:customStyle="1" w:styleId="30">
    <w:name w:val="font21"/>
    <w:basedOn w:val="21"/>
    <w:qFormat/>
    <w:uiPriority w:val="0"/>
    <w:rPr>
      <w:rFonts w:hint="default" w:ascii="仿宋_GB2312" w:eastAsia="仿宋_GB2312" w:cs="仿宋_GB2312"/>
      <w:color w:val="000000"/>
      <w:sz w:val="22"/>
      <w:szCs w:val="22"/>
      <w:u w:val="none"/>
    </w:rPr>
  </w:style>
  <w:style w:type="paragraph" w:customStyle="1" w:styleId="31">
    <w:name w:val="text-tag"/>
    <w:basedOn w:val="1"/>
    <w:qFormat/>
    <w:uiPriority w:val="0"/>
    <w:pPr>
      <w:spacing w:before="100" w:beforeAutospacing="1" w:after="100" w:afterAutospacing="1"/>
    </w:pPr>
  </w:style>
  <w:style w:type="character" w:customStyle="1" w:styleId="32">
    <w:name w:val="批注框文本 字符"/>
    <w:basedOn w:val="21"/>
    <w:link w:val="11"/>
    <w:qFormat/>
    <w:uiPriority w:val="0"/>
    <w:rPr>
      <w:rFonts w:ascii="宋体" w:hAnsi="宋体" w:cs="宋体"/>
      <w:sz w:val="18"/>
      <w:szCs w:val="18"/>
    </w:rPr>
  </w:style>
  <w:style w:type="character" w:customStyle="1" w:styleId="33">
    <w:name w:val="页眉 字符"/>
    <w:basedOn w:val="21"/>
    <w:link w:val="13"/>
    <w:qFormat/>
    <w:uiPriority w:val="0"/>
    <w:rPr>
      <w:rFonts w:ascii="宋体" w:hAnsi="宋体" w:cs="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48</Pages>
  <Words>26850</Words>
  <Characters>27662</Characters>
  <Lines>216</Lines>
  <Paragraphs>61</Paragraphs>
  <TotalTime>9</TotalTime>
  <ScaleCrop>false</ScaleCrop>
  <LinksUpToDate>false</LinksUpToDate>
  <CharactersWithSpaces>27718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2021-08-18T20:49:00Z</dcterms:created>
  <dc:creator>蓝熠</dc:creator>
  <cp:lastModifiedBy>Icarus</cp:lastModifiedBy>
  <dcterms:modified xsi:type="dcterms:W3CDTF">2024-07-09T03:08:38Z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0BE1BC30E9984E898FDE25771380E3AC_12</vt:lpwstr>
  </property>
</Properties>
</file>