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36A2D3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2023年长江经济带生态环境警示片涉及编号2问题整改完成情况</w:t>
      </w:r>
    </w:p>
    <w:p w14:paraId="32D0D65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仿宋_GB2312" w:hAnsi="仿宋_GB2312" w:eastAsia="仿宋_GB2312" w:cs="仿宋_GB2312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                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6"/>
        <w:gridCol w:w="7058"/>
      </w:tblGrid>
      <w:tr w14:paraId="593E45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66" w:type="dxa"/>
            <w:vAlign w:val="center"/>
          </w:tcPr>
          <w:p w14:paraId="3615E7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sz w:val="30"/>
                <w:szCs w:val="30"/>
                <w:vertAlign w:val="baseline"/>
                <w:lang w:eastAsia="zh-CN"/>
              </w:rPr>
              <w:t>涉及问题</w:t>
            </w:r>
          </w:p>
        </w:tc>
        <w:tc>
          <w:tcPr>
            <w:tcW w:w="7058" w:type="dxa"/>
          </w:tcPr>
          <w:p w14:paraId="5AB4F7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640" w:firstLineChars="200"/>
              <w:jc w:val="left"/>
              <w:textAlignment w:val="auto"/>
              <w:rPr>
                <w:rFonts w:hint="eastAsia" w:ascii="Times New Roman" w:hAnsi="Times New Roman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仿宋_GB2312" w:cs="仿宋_GB2312"/>
                <w:sz w:val="32"/>
                <w:szCs w:val="32"/>
                <w:lang w:val="en-US" w:eastAsia="zh-CN"/>
              </w:rPr>
              <w:t>松阳县象溪镇85兆瓦农光互补光伏发电项目总用地面积2300亩，2023年8月建设单位丽水市纤溪新能源有限公司在未编制“水保”方案、未通过环评审批的情况下擅自开工、野蛮施工，大面积破坏生态，现场沟岸裸露、溜渣严重、满目疮痍，水土流失隐患突出。经核查，截至12月5日该项目环评仍未获批，同时还存在违规侵占林地等情况。</w:t>
            </w:r>
          </w:p>
        </w:tc>
      </w:tr>
      <w:tr w14:paraId="32081A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3" w:hRule="atLeast"/>
        </w:trPr>
        <w:tc>
          <w:tcPr>
            <w:tcW w:w="1966" w:type="dxa"/>
            <w:vAlign w:val="center"/>
          </w:tcPr>
          <w:p w14:paraId="7C0B3D6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黑体" w:hAnsi="黑体" w:eastAsia="黑体" w:cs="黑体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sz w:val="30"/>
                <w:szCs w:val="30"/>
                <w:vertAlign w:val="baseline"/>
                <w:lang w:eastAsia="zh-CN"/>
              </w:rPr>
              <w:t>整改目标</w:t>
            </w:r>
          </w:p>
        </w:tc>
        <w:tc>
          <w:tcPr>
            <w:tcW w:w="7058" w:type="dxa"/>
          </w:tcPr>
          <w:p w14:paraId="39394E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640" w:firstLineChars="200"/>
              <w:jc w:val="left"/>
              <w:textAlignment w:val="auto"/>
              <w:rPr>
                <w:rFonts w:hint="eastAsia" w:ascii="Times New Roman" w:hAnsi="Times New Roman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z w:val="32"/>
                <w:szCs w:val="32"/>
                <w:lang w:val="en-US" w:eastAsia="zh-CN"/>
              </w:rPr>
              <w:t>全面完成已开发区块复绿及水土保持措施，完善环评、水保等审批手续，采取扬尘治理、光伏组件高度提升、板下茶叶种植等措施，修复生态环境，消除水土流失隐患。</w:t>
            </w:r>
          </w:p>
        </w:tc>
      </w:tr>
      <w:tr w14:paraId="513E41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1966" w:type="dxa"/>
            <w:vAlign w:val="center"/>
          </w:tcPr>
          <w:p w14:paraId="5F943A3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黑体" w:hAnsi="黑体" w:eastAsia="黑体" w:cs="黑体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sz w:val="30"/>
                <w:szCs w:val="30"/>
                <w:vertAlign w:val="baseline"/>
                <w:lang w:eastAsia="zh-CN"/>
              </w:rPr>
              <w:t>整改时限</w:t>
            </w:r>
          </w:p>
        </w:tc>
        <w:tc>
          <w:tcPr>
            <w:tcW w:w="7058" w:type="dxa"/>
            <w:vAlign w:val="center"/>
          </w:tcPr>
          <w:p w14:paraId="2390838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default" w:ascii="Times New Roman" w:hAnsi="Times New Roman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z w:val="32"/>
                <w:szCs w:val="32"/>
                <w:lang w:val="en-US" w:eastAsia="zh-CN"/>
              </w:rPr>
              <w:t>2024年6月底前</w:t>
            </w:r>
          </w:p>
        </w:tc>
      </w:tr>
      <w:tr w14:paraId="5F82B8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66" w:type="dxa"/>
            <w:vAlign w:val="center"/>
          </w:tcPr>
          <w:p w14:paraId="1E5253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黑体" w:hAnsi="黑体" w:eastAsia="黑体" w:cs="黑体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sz w:val="30"/>
                <w:szCs w:val="30"/>
                <w:vertAlign w:val="baseline"/>
                <w:lang w:eastAsia="zh-CN"/>
              </w:rPr>
              <w:t>整改措施</w:t>
            </w:r>
          </w:p>
        </w:tc>
        <w:tc>
          <w:tcPr>
            <w:tcW w:w="7058" w:type="dxa"/>
          </w:tcPr>
          <w:p w14:paraId="30DA27A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Times New Roman" w:hAnsi="Times New Roman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z w:val="32"/>
                <w:szCs w:val="32"/>
                <w:lang w:val="en-US" w:eastAsia="zh-CN"/>
              </w:rPr>
              <w:t>1.落实点上整改。一是在已开发区块25度以上的山体播撒草籽，25度以下的山体区块完成光伏板安装后在板下种植茶叶，对周边进行复绿，并编制农光互补种植方案。二是对已开发区块实施溜渣清理及密目网苫盖、建设排水沟、建设集水井（沉砂池）、设置拦挡、进场道路灌木种植等项目，落实水土保持监理单位及监测单位。三是定期开展通村公路道路清洗，落实进出车辆清洗和场区道路洒水措施，采用密闭式防尘网遮盖建筑土方、工程渣土、建筑垃圾等，减少扬尘污染。四是按照省能源局浙能源〔2022〕4号文件要求执行光伏支架安装高度，对已安装光伏组件进行拆除和抬升，修改未安装光伏组件区块设计方案、施工方案。四是对象溪镇85兆瓦农光互补光伏发电项目建设过程中存在的毁坏林地、环境影响评价报告表未通过审批即投入建设的违法行为进行查处。</w:t>
            </w:r>
          </w:p>
          <w:p w14:paraId="44DFEFE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Chars="0"/>
              <w:jc w:val="left"/>
              <w:textAlignment w:val="auto"/>
              <w:rPr>
                <w:rFonts w:hint="eastAsia" w:ascii="Times New Roman" w:hAnsi="Times New Roman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z w:val="32"/>
                <w:szCs w:val="32"/>
                <w:lang w:val="en-US" w:eastAsia="zh-CN"/>
              </w:rPr>
              <w:t>2.开展举一反三。对全县重点工程、同类光伏发电项目等开展大排查大整治，重点排查项目审批、水土保持、扬尘治理等情况，发现违法行为的依法依规严肃查处。</w:t>
            </w:r>
          </w:p>
          <w:p w14:paraId="0F58457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Chars="0"/>
              <w:jc w:val="left"/>
              <w:textAlignment w:val="auto"/>
              <w:rPr>
                <w:rFonts w:hint="eastAsia" w:ascii="Times New Roman" w:hAnsi="Times New Roman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z w:val="32"/>
                <w:szCs w:val="32"/>
                <w:lang w:val="en-US" w:eastAsia="zh-CN"/>
              </w:rPr>
              <w:t>3.完善长效机制。建立工作联络群，制定问题整改日报制度，强化部门间沟通协调；制定地面光伏项目审批监管全流程思维导图和部门间信息互通机制，明确各有关部门在线索通报、案件移送、联合执法、信息共享、案件咨询等方面协作配合要求。</w:t>
            </w:r>
          </w:p>
        </w:tc>
      </w:tr>
      <w:tr w14:paraId="07234C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66" w:type="dxa"/>
            <w:vAlign w:val="center"/>
          </w:tcPr>
          <w:p w14:paraId="2D574F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黑体" w:hAnsi="黑体" w:eastAsia="黑体" w:cs="黑体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sz w:val="30"/>
                <w:szCs w:val="30"/>
                <w:vertAlign w:val="baseline"/>
                <w:lang w:eastAsia="zh-CN"/>
              </w:rPr>
              <w:t>整改完成情况</w:t>
            </w:r>
          </w:p>
        </w:tc>
        <w:tc>
          <w:tcPr>
            <w:tcW w:w="7058" w:type="dxa"/>
          </w:tcPr>
          <w:p w14:paraId="40B8F68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Chars="0"/>
              <w:jc w:val="left"/>
              <w:textAlignment w:val="auto"/>
              <w:rPr>
                <w:rFonts w:hint="eastAsia" w:ascii="Times New Roman" w:hAnsi="Times New Roman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z w:val="32"/>
                <w:szCs w:val="32"/>
                <w:lang w:val="en-US" w:eastAsia="zh-CN"/>
              </w:rPr>
              <w:t>1.落实全面整改。（1）未批先建方面。2023年11月30日取得水土保持方案报告批复，2023年12月15日取得环境影响评价报告批复等。（2）水保复绿方面。2024年4月完成农光互补种植方案，并按要求进行了复绿，完成板下茶叶种植30余万株、大豆1200余斤、南瓜苗2500余株、西瓜苗1500余株；累计建设道路排水沟7300余米、临时排水沟4500余米、集水井10个、沉砂池15个、挡渣墙2座；苫盖密目网55万余平方米，播撒草籽5万余斤，边坡挂网喷浆植草5000余平方米，栽种侧柏1万余株、红叶石楠20余万株、行道树500余株，基本满足区块水土保持功能。（3）违规占用林地方面。2024年4月10日，县综合行政执法局对违规占用林地行为作出行政处罚决定，共处罚款88001元人民币。2024年6月8日，违规占用林地地块植被恢复通过验收。（4）组件安装方面。2024年4月，按照浙能源〔2022〕4号文件要求完成光伏组件高度调整。</w:t>
            </w:r>
          </w:p>
          <w:p w14:paraId="40E9498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Chars="0"/>
              <w:jc w:val="left"/>
              <w:textAlignment w:val="auto"/>
              <w:rPr>
                <w:rFonts w:hint="eastAsia" w:ascii="Times New Roman" w:hAnsi="Times New Roman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z w:val="32"/>
                <w:szCs w:val="32"/>
                <w:lang w:val="en-US" w:eastAsia="zh-CN"/>
              </w:rPr>
              <w:t>2.开展举一反三。2024年1月，市生态环境局松阳分局牵头对全县重点工程、同类光伏发电项目等开展大排查大整治，聚焦项目审批、水土保持、扬尘治理等方面。2024年4月，全县开展已建、在建地面光伏项目问题线索排查，未发现类似问题。</w:t>
            </w:r>
          </w:p>
          <w:p w14:paraId="0F7DD18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Chars="0"/>
              <w:jc w:val="left"/>
              <w:textAlignment w:val="auto"/>
              <w:rPr>
                <w:rFonts w:hint="eastAsia" w:ascii="Times New Roman" w:hAnsi="Times New Roman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z w:val="32"/>
                <w:szCs w:val="32"/>
                <w:lang w:val="en-US" w:eastAsia="zh-CN"/>
              </w:rPr>
              <w:t>3.完善长效机制。2024年1月2日，市生态环境局松阳分局印发《生态环境保护综合行政执法监管部门联动机制》，强化部门间沟通协调。2024年5月7日，县发改局</w:t>
            </w:r>
            <w:bookmarkStart w:id="0" w:name="_GoBack"/>
            <w:bookmarkEnd w:id="0"/>
            <w:r>
              <w:rPr>
                <w:rFonts w:hint="eastAsia" w:ascii="Times New Roman" w:hAnsi="Times New Roman" w:eastAsia="仿宋_GB2312" w:cs="仿宋_GB2312"/>
                <w:sz w:val="32"/>
                <w:szCs w:val="32"/>
                <w:lang w:val="en-US" w:eastAsia="zh-CN"/>
              </w:rPr>
              <w:t>出台《松阳县地面光伏发电项目管理暂行办法》，建立长效管理机制。</w:t>
            </w:r>
          </w:p>
          <w:p w14:paraId="4FD601A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Chars="0"/>
              <w:jc w:val="left"/>
              <w:textAlignment w:val="auto"/>
              <w:rPr>
                <w:rFonts w:hint="eastAsia"/>
                <w:lang w:eastAsia="zh-CN"/>
              </w:rPr>
            </w:pPr>
            <w:r>
              <w:rPr>
                <w:rFonts w:hint="eastAsia" w:ascii="Times New Roman" w:hAnsi="Times New Roman" w:eastAsia="仿宋_GB2312" w:cs="仿宋_GB2312"/>
                <w:sz w:val="32"/>
                <w:szCs w:val="32"/>
                <w:lang w:val="en-US" w:eastAsia="zh-CN"/>
              </w:rPr>
              <w:t>4.开展现场验收。2024年8月20日，中央生态环境保护督察丽水市整改工作协调小组组织市发改委、市生态环境局、市自然资源局、市水利局、市农业农村局、市综合执法局、市林业局、国网丽水供电公司等部门，对照整改方案明确的整改目标、完成时限、整改措施，采取现场核查和资料审查相结合的方式，开展现场验收。一致通过验收并在《2023年长江经济带生态环境警示片披露丽水松阳县问题整改验收表》上确认签字。</w:t>
            </w:r>
          </w:p>
        </w:tc>
      </w:tr>
    </w:tbl>
    <w:p w14:paraId="4D1C8B1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sectPr>
      <w:pgSz w:w="11906" w:h="16838"/>
      <w:pgMar w:top="1440" w:right="1417" w:bottom="1440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Y0ZDBhZDNmZmFkMjhlZWYzYTIyZjhiNzQwOWY5MDgifQ=="/>
  </w:docVars>
  <w:rsids>
    <w:rsidRoot w:val="00000000"/>
    <w:rsid w:val="00416089"/>
    <w:rsid w:val="050E411D"/>
    <w:rsid w:val="0A3C419E"/>
    <w:rsid w:val="0C237E62"/>
    <w:rsid w:val="12223437"/>
    <w:rsid w:val="13816D8D"/>
    <w:rsid w:val="17843174"/>
    <w:rsid w:val="1E285DF8"/>
    <w:rsid w:val="1F550E6F"/>
    <w:rsid w:val="1F9856E9"/>
    <w:rsid w:val="1FED2895"/>
    <w:rsid w:val="24CF3471"/>
    <w:rsid w:val="258E7640"/>
    <w:rsid w:val="287808A2"/>
    <w:rsid w:val="2BFF63EA"/>
    <w:rsid w:val="35B71AE4"/>
    <w:rsid w:val="38595C20"/>
    <w:rsid w:val="3A3E08B1"/>
    <w:rsid w:val="401D68ED"/>
    <w:rsid w:val="427C3763"/>
    <w:rsid w:val="42A81083"/>
    <w:rsid w:val="4C44603D"/>
    <w:rsid w:val="4EEF0720"/>
    <w:rsid w:val="5F6917F1"/>
    <w:rsid w:val="672C2832"/>
    <w:rsid w:val="680E73DA"/>
    <w:rsid w:val="6B590777"/>
    <w:rsid w:val="6DF80527"/>
    <w:rsid w:val="6E3F209B"/>
    <w:rsid w:val="75AB540C"/>
    <w:rsid w:val="760C6737"/>
    <w:rsid w:val="7B890DF9"/>
    <w:rsid w:val="7D395D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widowControl w:val="0"/>
      <w:suppressAutoHyphens/>
      <w:bidi w:val="0"/>
      <w:ind w:firstLine="200" w:firstLineChars="200"/>
      <w:jc w:val="both"/>
    </w:pPr>
    <w:rPr>
      <w:rFonts w:ascii="Calibri" w:hAnsi="Calibri" w:eastAsia="宋体" w:cs="Times New Roman"/>
      <w:color w:val="auto"/>
      <w:kern w:val="2"/>
      <w:sz w:val="21"/>
      <w:szCs w:val="24"/>
      <w:lang w:val="en-US" w:eastAsia="zh-CN" w:bidi="ar-SA"/>
    </w:rPr>
  </w:style>
  <w:style w:type="paragraph" w:styleId="3">
    <w:name w:val="Body Text Indent"/>
    <w:basedOn w:val="1"/>
    <w:next w:val="1"/>
    <w:qFormat/>
    <w:uiPriority w:val="0"/>
    <w:pPr>
      <w:ind w:left="1260" w:leftChars="100" w:hanging="944" w:hangingChars="482"/>
    </w:pPr>
    <w:rPr>
      <w:rFonts w:ascii="Times New Roman" w:hAnsi="Times New Roman" w:eastAsia="宋体" w:cs="Times New Roman"/>
    </w:rPr>
  </w:style>
  <w:style w:type="paragraph" w:styleId="4">
    <w:name w:val="Body Text Indent 2"/>
    <w:basedOn w:val="1"/>
    <w:next w:val="5"/>
    <w:qFormat/>
    <w:uiPriority w:val="0"/>
    <w:pPr>
      <w:ind w:firstLine="632" w:firstLineChars="200"/>
    </w:pPr>
    <w:rPr>
      <w:rFonts w:ascii="Times New Roman" w:hAnsi="Times New Roman" w:eastAsia="宋体" w:cs="Times New Roman"/>
    </w:rPr>
  </w:style>
  <w:style w:type="paragraph" w:styleId="5">
    <w:name w:val="Body Text First Indent 2"/>
    <w:basedOn w:val="3"/>
    <w:next w:val="3"/>
    <w:qFormat/>
    <w:uiPriority w:val="0"/>
    <w:pPr>
      <w:ind w:firstLine="40"/>
    </w:pPr>
    <w:rPr>
      <w:rFonts w:ascii="Times New Roman" w:hAnsi="仿宋_GB2312" w:eastAsia="仿宋" w:cs="仿宋_GB2312"/>
      <w:szCs w:val="32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9">
    <w:name w:val="font41"/>
    <w:basedOn w:val="8"/>
    <w:qFormat/>
    <w:uiPriority w:val="0"/>
    <w:rPr>
      <w:rFonts w:ascii="仿宋_GB2312" w:eastAsia="仿宋_GB2312" w:cs="仿宋_GB2312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1548</Words>
  <Characters>1649</Characters>
  <Lines>0</Lines>
  <Paragraphs>0</Paragraphs>
  <TotalTime>909</TotalTime>
  <ScaleCrop>false</ScaleCrop>
  <LinksUpToDate>false</LinksUpToDate>
  <CharactersWithSpaces>1669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扎西多吉</cp:lastModifiedBy>
  <cp:lastPrinted>2024-08-09T08:19:00Z</cp:lastPrinted>
  <dcterms:modified xsi:type="dcterms:W3CDTF">2024-09-30T00:48:25Z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2FB9E1BC100F4929BFFDDBA9A1F5B17C_12</vt:lpwstr>
  </property>
</Properties>
</file>